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24F55D8B"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4839CF">
        <w:rPr>
          <w:rFonts w:ascii="Arial" w:hAnsi="Arial" w:cs="Arial"/>
          <w:color w:val="auto"/>
        </w:rPr>
        <w:t>4</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74F47F19"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 xml:space="preserve">trybie podstawowym bez negocjacji o wartości zamówienia nie przekraczającej progów unijnych o jakich stanowi art. 3 ustawy z 11 września 2019 r. - Prawo zamówień publicznych </w:t>
      </w:r>
      <w:r w:rsidR="00184A67" w:rsidRPr="006B32D8">
        <w:rPr>
          <w:rFonts w:ascii="Arial" w:hAnsi="Arial" w:cs="Arial"/>
        </w:rPr>
        <w:t>(</w:t>
      </w:r>
      <w:proofErr w:type="spellStart"/>
      <w:r w:rsidR="00184A67" w:rsidRPr="001906E7">
        <w:rPr>
          <w:rFonts w:ascii="Arial" w:hAnsi="Arial" w:cs="Arial"/>
        </w:rPr>
        <w:t>t.j</w:t>
      </w:r>
      <w:proofErr w:type="spellEnd"/>
      <w:r w:rsidR="00184A67" w:rsidRPr="001906E7">
        <w:rPr>
          <w:rFonts w:ascii="Arial" w:hAnsi="Arial" w:cs="Arial"/>
        </w:rPr>
        <w:t xml:space="preserve">. Dz. U. z 2023 r. poz. 1605 z </w:t>
      </w:r>
      <w:proofErr w:type="spellStart"/>
      <w:r w:rsidR="00184A67" w:rsidRPr="001906E7">
        <w:rPr>
          <w:rFonts w:ascii="Arial" w:hAnsi="Arial" w:cs="Arial"/>
        </w:rPr>
        <w:t>późn</w:t>
      </w:r>
      <w:proofErr w:type="spellEnd"/>
      <w:r w:rsidR="00184A67" w:rsidRPr="001906E7">
        <w:rPr>
          <w:rFonts w:ascii="Arial" w:hAnsi="Arial" w:cs="Arial"/>
        </w:rPr>
        <w:t>. zm.</w:t>
      </w:r>
      <w:r w:rsidR="00184A67" w:rsidRPr="006B32D8">
        <w:rPr>
          <w:rFonts w:ascii="Arial" w:hAnsi="Arial" w:cs="Arial"/>
        </w:rPr>
        <w:t>)</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w:t>
      </w:r>
      <w:r w:rsidR="001047C1" w:rsidRPr="001047C1">
        <w:rPr>
          <w:rFonts w:ascii="Arial" w:hAnsi="Arial" w:cs="Arial"/>
          <w:b/>
          <w:bCs/>
          <w:color w:val="auto"/>
        </w:rPr>
        <w:t>Modernizacja dróg powiatowych na terenie Powiatu Mogileńskiego</w:t>
      </w:r>
      <w:r w:rsidR="003A34AF">
        <w:rPr>
          <w:rFonts w:ascii="Arial" w:hAnsi="Arial" w:cs="Arial"/>
          <w:b/>
          <w:bCs/>
          <w:color w:val="auto"/>
        </w:rPr>
        <w:t>”</w:t>
      </w:r>
      <w:r w:rsidR="00367EE9">
        <w:rPr>
          <w:rFonts w:ascii="Arial" w:hAnsi="Arial" w:cs="Arial"/>
          <w:b/>
          <w:bCs/>
          <w:color w:val="auto"/>
        </w:rPr>
        <w:t>,</w:t>
      </w:r>
      <w:r w:rsidR="001047C1">
        <w:rPr>
          <w:rFonts w:ascii="Arial" w:hAnsi="Arial" w:cs="Arial"/>
          <w:b/>
          <w:bCs/>
          <w:color w:val="auto"/>
        </w:rPr>
        <w:t xml:space="preserve"> </w:t>
      </w:r>
      <w:r w:rsidR="001047C1" w:rsidRPr="00EF2BC8">
        <w:rPr>
          <w:rFonts w:ascii="Arial" w:hAnsi="Arial" w:cs="Arial"/>
          <w:color w:val="auto"/>
        </w:rPr>
        <w:t>dofinansowanego ze środków pochodzących z</w:t>
      </w:r>
      <w:r w:rsidR="001047C1">
        <w:rPr>
          <w:rFonts w:ascii="Arial" w:hAnsi="Arial" w:cs="Arial"/>
          <w:color w:val="auto"/>
        </w:rPr>
        <w:t> </w:t>
      </w:r>
      <w:r w:rsidR="001047C1" w:rsidRPr="00EF2BC8">
        <w:rPr>
          <w:rFonts w:ascii="Arial" w:hAnsi="Arial" w:cs="Arial"/>
          <w:color w:val="auto"/>
        </w:rPr>
        <w:t>Programu Rządowego Fundusz Polski Ład: Program Inwestycji Strategicznych</w:t>
      </w:r>
      <w:r w:rsidR="001047C1">
        <w:rPr>
          <w:rFonts w:ascii="Arial" w:hAnsi="Arial" w:cs="Arial"/>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08C1E11A"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t>„</w:t>
      </w:r>
      <w:r w:rsidR="001047C1" w:rsidRPr="001047C1">
        <w:rPr>
          <w:rFonts w:ascii="Arial" w:hAnsi="Arial" w:cs="Arial"/>
          <w:b/>
          <w:bCs/>
          <w:color w:val="auto"/>
        </w:rPr>
        <w:t>Modernizacja dróg powiatowych na terenie Powiatu Mogileńskiego</w:t>
      </w:r>
      <w:r w:rsidR="003A34AF">
        <w:rPr>
          <w:rFonts w:ascii="Arial" w:hAnsi="Arial" w:cs="Arial"/>
          <w:b/>
          <w:bCs/>
          <w:color w:val="auto"/>
        </w:rPr>
        <w:t>”</w:t>
      </w:r>
      <w:r w:rsidR="00E36BF9" w:rsidRPr="003119C9">
        <w:rPr>
          <w:rFonts w:ascii="Arial" w:hAnsi="Arial" w:cs="Arial"/>
          <w:b/>
          <w:bCs/>
          <w:color w:val="auto"/>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3FE8C73E" w:rsidR="00167825" w:rsidRPr="00A00418" w:rsidRDefault="003A45F8"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3A45F8">
        <w:rPr>
          <w:rFonts w:ascii="Arial" w:hAnsi="Arial" w:cs="Arial"/>
          <w:color w:val="auto"/>
        </w:rPr>
        <w:t xml:space="preserve">Wykonanie </w:t>
      </w:r>
      <w:r w:rsidR="001047C1">
        <w:rPr>
          <w:rFonts w:ascii="Arial" w:hAnsi="Arial" w:cs="Arial"/>
        </w:rPr>
        <w:t>modernizacji dróg na terenie Powiatu Mogileńskiego o łącznej długości 20,181 km</w:t>
      </w:r>
      <w:r w:rsidR="001047C1">
        <w:rPr>
          <w:rFonts w:ascii="Arial" w:hAnsi="Arial" w:cs="Arial"/>
          <w:color w:val="auto"/>
        </w:rPr>
        <w:t xml:space="preserve">, </w:t>
      </w:r>
      <w:r w:rsidR="002B353E" w:rsidRPr="002B353E">
        <w:rPr>
          <w:rFonts w:ascii="Arial" w:hAnsi="Arial" w:cs="Arial"/>
          <w:color w:val="auto"/>
        </w:rPr>
        <w:t>zgodnie z warunkami określonymi w SWZ i</w:t>
      </w:r>
      <w:r w:rsidR="00A82F52">
        <w:rPr>
          <w:rFonts w:ascii="Arial" w:hAnsi="Arial" w:cs="Arial"/>
          <w:color w:val="auto"/>
        </w:rPr>
        <w:t> </w:t>
      </w:r>
      <w:r w:rsidR="002B353E"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14FDD67A" w14:textId="16A4F1CC" w:rsidR="00BE5D93" w:rsidRPr="001047C1" w:rsidRDefault="00BE5D93" w:rsidP="001047C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E5D93">
        <w:rPr>
          <w:rFonts w:ascii="Arial" w:hAnsi="Arial" w:cs="Arial"/>
          <w:color w:val="auto"/>
        </w:rPr>
        <w:t>Wykonawca zobowiązuje się do wykonywania wszystkich zleconych przez Zamawiającego robót  według standardów podanych w</w:t>
      </w:r>
      <w:r w:rsidR="001047C1">
        <w:rPr>
          <w:rFonts w:ascii="Arial" w:hAnsi="Arial" w:cs="Arial"/>
          <w:color w:val="auto"/>
        </w:rPr>
        <w:t xml:space="preserve"> projektach technicznych</w:t>
      </w:r>
      <w:r w:rsidRPr="00BE5D93">
        <w:rPr>
          <w:rFonts w:ascii="Arial" w:hAnsi="Arial" w:cs="Arial"/>
          <w:color w:val="auto"/>
        </w:rPr>
        <w:t xml:space="preserve">  stanowiących integralną część niniejszej umowy</w:t>
      </w:r>
      <w:r w:rsidR="00167825" w:rsidRPr="00A00418">
        <w:rPr>
          <w:rFonts w:ascii="Arial" w:hAnsi="Arial" w:cs="Arial"/>
          <w:color w:val="auto"/>
        </w:rPr>
        <w:t>.</w:t>
      </w:r>
    </w:p>
    <w:p w14:paraId="4F7A3699" w14:textId="45884139"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FE739A" w:rsidRPr="00FE739A">
        <w:rPr>
          <w:rFonts w:ascii="Arial" w:hAnsi="Arial" w:cs="Arial"/>
          <w:bCs/>
          <w:color w:val="auto"/>
        </w:rPr>
        <w:t>obsługa maszyn i urządzeń budowlanych</w:t>
      </w:r>
      <w:r w:rsidR="00FE739A">
        <w:rPr>
          <w:rFonts w:ascii="Arial" w:hAnsi="Arial" w:cs="Arial"/>
          <w:bCs/>
          <w:color w:val="auto"/>
        </w:rPr>
        <w:t xml:space="preserve">, </w:t>
      </w:r>
      <w:r w:rsidR="00B42A5F" w:rsidRPr="00FE739A">
        <w:rPr>
          <w:rFonts w:ascii="Arial" w:hAnsi="Arial" w:cs="Arial"/>
          <w:bCs/>
          <w:color w:val="auto"/>
        </w:rPr>
        <w:t>roboty drogowe</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45649530"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1047C1">
        <w:rPr>
          <w:color w:val="auto"/>
        </w:rPr>
        <w:t>3</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lastRenderedPageBreak/>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60B84D37" w14:textId="77777777" w:rsidR="003A45F8" w:rsidRDefault="00F70DC0" w:rsidP="003A45F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3A41B704" w:rsidR="00BA5AA2" w:rsidRPr="003A45F8" w:rsidRDefault="00F70DC0" w:rsidP="003A45F8">
      <w:pPr>
        <w:pStyle w:val="Akapitzlist"/>
        <w:numPr>
          <w:ilvl w:val="0"/>
          <w:numId w:val="24"/>
        </w:numPr>
        <w:tabs>
          <w:tab w:val="left" w:pos="1276"/>
        </w:tabs>
        <w:spacing w:line="360" w:lineRule="auto"/>
        <w:ind w:left="993" w:hanging="284"/>
        <w:jc w:val="left"/>
        <w:rPr>
          <w:rFonts w:ascii="Arial" w:hAnsi="Arial" w:cs="Arial"/>
          <w:color w:val="auto"/>
        </w:rPr>
      </w:pPr>
      <w:r w:rsidRPr="003A45F8">
        <w:rPr>
          <w:rFonts w:ascii="Arial" w:hAnsi="Arial" w:cs="Arial"/>
          <w:color w:val="auto"/>
        </w:rPr>
        <w:t>poświadczonej za zgodność z oryginałem odpowiednio przez wykonawcę                                                                  lub podwykonawcę</w:t>
      </w:r>
      <w:r w:rsidRPr="003A45F8">
        <w:rPr>
          <w:rFonts w:ascii="Arial" w:hAnsi="Arial" w:cs="Arial"/>
          <w:b/>
          <w:color w:val="auto"/>
        </w:rPr>
        <w:t xml:space="preserve"> kopii dowodu potwierdzającego zgłoszenie pracownika przez pracodawcę do ubezpieczeń</w:t>
      </w:r>
      <w:r w:rsidRPr="003A45F8">
        <w:rPr>
          <w:rFonts w:ascii="Arial" w:hAnsi="Arial" w:cs="Arial"/>
          <w:color w:val="auto"/>
        </w:rPr>
        <w:t xml:space="preserve">, zanonimizowaną w sposób zapewniający </w:t>
      </w:r>
      <w:r w:rsidRPr="003A45F8">
        <w:rPr>
          <w:rFonts w:ascii="Arial" w:hAnsi="Arial" w:cs="Arial"/>
          <w:color w:val="auto"/>
        </w:rPr>
        <w:lastRenderedPageBreak/>
        <w:t xml:space="preserve">ochronę danych osobowych pracowników, zgodnie z przepisami o ochronie danych osobowych, z zastrzeżeniem z § 2 ust. 2 pkt </w:t>
      </w:r>
      <w:r w:rsidR="001047C1">
        <w:rPr>
          <w:rFonts w:ascii="Arial" w:hAnsi="Arial" w:cs="Arial"/>
          <w:color w:val="auto"/>
        </w:rPr>
        <w:t>4</w:t>
      </w:r>
      <w:r w:rsidRPr="003A45F8">
        <w:rPr>
          <w:rFonts w:ascii="Arial" w:hAnsi="Arial" w:cs="Arial"/>
          <w:color w:val="auto"/>
        </w:rPr>
        <w:t xml:space="preserve">) lit. </w:t>
      </w:r>
      <w:r w:rsidR="00FD3BCD" w:rsidRPr="003A45F8">
        <w:rPr>
          <w:rFonts w:ascii="Arial" w:hAnsi="Arial" w:cs="Arial"/>
          <w:color w:val="auto"/>
        </w:rPr>
        <w:t>c</w:t>
      </w:r>
      <w:r w:rsidRPr="003A45F8">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3A45F8">
      <w:pPr>
        <w:widowControl w:val="0"/>
        <w:numPr>
          <w:ilvl w:val="0"/>
          <w:numId w:val="46"/>
        </w:numPr>
        <w:tabs>
          <w:tab w:val="left" w:pos="426"/>
          <w:tab w:val="left" w:pos="1134"/>
          <w:tab w:val="center" w:pos="5271"/>
          <w:tab w:val="right" w:pos="9807"/>
        </w:tabs>
        <w:spacing w:line="360" w:lineRule="auto"/>
        <w:ind w:left="54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3A45F8">
      <w:pPr>
        <w:widowControl w:val="0"/>
        <w:numPr>
          <w:ilvl w:val="0"/>
          <w:numId w:val="46"/>
        </w:numPr>
        <w:tabs>
          <w:tab w:val="left" w:pos="426"/>
          <w:tab w:val="left" w:pos="1134"/>
          <w:tab w:val="center" w:pos="5271"/>
          <w:tab w:val="right" w:pos="9807"/>
        </w:tabs>
        <w:spacing w:line="360" w:lineRule="auto"/>
        <w:ind w:left="540"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6B900A4E"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8370E5">
        <w:rPr>
          <w:rFonts w:ascii="Arial" w:hAnsi="Arial" w:cs="Arial"/>
          <w:szCs w:val="24"/>
        </w:rPr>
        <w:t>6</w:t>
      </w:r>
      <w:r w:rsidRPr="00332BE4">
        <w:rPr>
          <w:rFonts w:ascii="Arial" w:hAnsi="Arial" w:cs="Arial"/>
          <w:szCs w:val="24"/>
        </w:rPr>
        <w:t xml:space="preserve"> </w:t>
      </w:r>
      <w:r w:rsidR="0010419E" w:rsidRPr="00332BE4">
        <w:rPr>
          <w:rFonts w:ascii="Arial" w:hAnsi="Arial" w:cs="Arial"/>
          <w:szCs w:val="24"/>
        </w:rPr>
        <w:t>miesi</w:t>
      </w:r>
      <w:r w:rsidR="00E36BF9" w:rsidRPr="00332BE4">
        <w:rPr>
          <w:rFonts w:ascii="Arial" w:hAnsi="Arial" w:cs="Arial"/>
          <w:szCs w:val="24"/>
        </w:rPr>
        <w:t>ęcy</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AE2D9B6"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Gotowość do odbiorów Wykonawca będzie zgłaszał Zamawiającemu faksem lub </w:t>
      </w:r>
      <w:r w:rsidRPr="00942B80">
        <w:rPr>
          <w:rFonts w:ascii="Arial" w:hAnsi="Arial" w:cs="Arial"/>
          <w:color w:val="auto"/>
        </w:rPr>
        <w:lastRenderedPageBreak/>
        <w:t>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3E7A21AF" w14:textId="060AE6D0" w:rsidR="00997EA1" w:rsidRDefault="00997EA1" w:rsidP="00B758BE">
      <w:pPr>
        <w:pStyle w:val="Akapitzlist"/>
        <w:widowControl w:val="0"/>
        <w:numPr>
          <w:ilvl w:val="3"/>
          <w:numId w:val="40"/>
        </w:numPr>
        <w:spacing w:line="360" w:lineRule="auto"/>
        <w:ind w:left="360"/>
        <w:jc w:val="left"/>
        <w:rPr>
          <w:rFonts w:ascii="Arial" w:hAnsi="Arial" w:cs="Arial"/>
          <w:color w:val="auto"/>
        </w:rPr>
      </w:pPr>
      <w:r w:rsidRPr="00EF2BC8">
        <w:rPr>
          <w:rFonts w:ascii="Arial" w:hAnsi="Arial" w:cs="Arial"/>
          <w:color w:val="auto"/>
        </w:rPr>
        <w:t>Odbiór ostateczny ma na celu przekazanie Zamawiającemu ustalonego przedmiotu umowy do eksploatacji po sprawdzeniu jego należytego wykonania</w:t>
      </w:r>
      <w:r>
        <w:rPr>
          <w:rFonts w:ascii="Arial" w:hAnsi="Arial" w:cs="Arial"/>
          <w:color w:val="auto"/>
        </w:rPr>
        <w:t>.</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w:t>
      </w:r>
      <w:r w:rsidRPr="00942B80">
        <w:rPr>
          <w:rFonts w:ascii="Arial" w:hAnsi="Arial" w:cs="Arial"/>
          <w:color w:val="auto"/>
        </w:rPr>
        <w:lastRenderedPageBreak/>
        <w:t xml:space="preserve">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71B709D" w14:textId="79D61C28" w:rsidR="00D85D1E" w:rsidRPr="00EF2BC8" w:rsidRDefault="00D85D1E" w:rsidP="00D85D1E">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Zamawiający przewiduje udzielenie zaliczki, która zostanie wypłacona zgodnie z</w:t>
      </w:r>
      <w:r>
        <w:rPr>
          <w:rFonts w:ascii="Arial" w:hAnsi="Arial" w:cs="Arial"/>
          <w:color w:val="auto"/>
        </w:rPr>
        <w:t> </w:t>
      </w:r>
      <w:r w:rsidRPr="00EF2BC8">
        <w:rPr>
          <w:rFonts w:ascii="Arial" w:hAnsi="Arial" w:cs="Arial"/>
          <w:color w:val="auto"/>
        </w:rPr>
        <w:t>warunkami wypłat dofinansowania z Programu Rządowy Fundusz Polski Ład: Program Inwestycji Strategicznych, tj. Wykonawcy zostanie udzielona zaliczka w</w:t>
      </w:r>
      <w:r>
        <w:rPr>
          <w:rFonts w:ascii="Arial" w:hAnsi="Arial" w:cs="Arial"/>
          <w:color w:val="auto"/>
        </w:rPr>
        <w:t> </w:t>
      </w:r>
      <w:r w:rsidRPr="00EF2BC8">
        <w:rPr>
          <w:rFonts w:ascii="Arial" w:hAnsi="Arial" w:cs="Arial"/>
          <w:color w:val="auto"/>
        </w:rPr>
        <w:t xml:space="preserve">wysokości </w:t>
      </w:r>
      <w:r>
        <w:rPr>
          <w:rFonts w:ascii="Arial" w:hAnsi="Arial" w:cs="Arial"/>
          <w:color w:val="auto"/>
        </w:rPr>
        <w:t>2</w:t>
      </w:r>
      <w:r w:rsidRPr="00EF2BC8">
        <w:rPr>
          <w:rFonts w:ascii="Arial" w:hAnsi="Arial" w:cs="Arial"/>
          <w:color w:val="auto"/>
        </w:rPr>
        <w:t>% wynagrodzenia należnego Wykonawcy (wkład własny Zamawiającego</w:t>
      </w:r>
      <w:r>
        <w:rPr>
          <w:rFonts w:ascii="Arial" w:hAnsi="Arial" w:cs="Arial"/>
          <w:color w:val="auto"/>
        </w:rPr>
        <w:t> </w:t>
      </w:r>
      <w:r w:rsidRPr="00EF2BC8">
        <w:rPr>
          <w:rFonts w:ascii="Arial" w:hAnsi="Arial" w:cs="Arial"/>
          <w:color w:val="auto"/>
        </w:rPr>
        <w:t xml:space="preserve">zgodny z programem) w terminie do 60 dni od dnia podpisania umowy, na konto bankowe wskazane przez Wykonawcę. </w:t>
      </w:r>
    </w:p>
    <w:p w14:paraId="72BC25B4" w14:textId="77777777" w:rsidR="00D85D1E" w:rsidRPr="00EF2BC8" w:rsidRDefault="00D85D1E" w:rsidP="00D85D1E">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Kwota zaliczki wyliczona na podstawie złożonej oferty wynosi …………… zł.</w:t>
      </w:r>
    </w:p>
    <w:p w14:paraId="36FF4F2C" w14:textId="63F56FBF" w:rsidR="00D85D1E" w:rsidRPr="00EF2BC8" w:rsidRDefault="00D85D1E" w:rsidP="00D85D1E">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lastRenderedPageBreak/>
        <w:t xml:space="preserve">Podstawą udzielenia zaliczki będzie złożenie przez Wykonawcę zabezpieczenia zaliczki w jednej z form wskazanych w ust. </w:t>
      </w:r>
      <w:r>
        <w:rPr>
          <w:rFonts w:ascii="Arial" w:hAnsi="Arial" w:cs="Arial"/>
          <w:color w:val="auto"/>
        </w:rPr>
        <w:t>7</w:t>
      </w:r>
      <w:r w:rsidRPr="00EF2BC8">
        <w:rPr>
          <w:rFonts w:ascii="Arial" w:hAnsi="Arial" w:cs="Arial"/>
          <w:color w:val="auto"/>
        </w:rPr>
        <w:t>.</w:t>
      </w:r>
    </w:p>
    <w:p w14:paraId="7B8D0A4C" w14:textId="77777777" w:rsidR="00D85D1E" w:rsidRPr="00EF2BC8" w:rsidRDefault="00D85D1E" w:rsidP="00D85D1E">
      <w:pPr>
        <w:widowControl w:val="0"/>
        <w:numPr>
          <w:ilvl w:val="0"/>
          <w:numId w:val="7"/>
        </w:numPr>
        <w:tabs>
          <w:tab w:val="left" w:pos="720"/>
        </w:tabs>
        <w:spacing w:line="360" w:lineRule="auto"/>
        <w:ind w:left="270" w:hanging="270"/>
        <w:jc w:val="both"/>
        <w:rPr>
          <w:rFonts w:ascii="Arial" w:hAnsi="Arial" w:cs="Arial"/>
          <w:color w:val="auto"/>
        </w:rPr>
      </w:pPr>
      <w:r w:rsidRPr="00EF2BC8">
        <w:rPr>
          <w:rFonts w:ascii="Arial" w:hAnsi="Arial" w:cs="Arial"/>
          <w:color w:val="auto"/>
        </w:rPr>
        <w:t>Zamawiający żąda od Wykonawcy wniesienia zabezpieczenia zaliczki w jednej lub kilku następujących formach:</w:t>
      </w:r>
    </w:p>
    <w:p w14:paraId="6CD0F21A" w14:textId="77777777" w:rsidR="00D85D1E" w:rsidRPr="00EF2BC8" w:rsidRDefault="00D85D1E" w:rsidP="00D85D1E">
      <w:pPr>
        <w:pStyle w:val="Akapitzlist"/>
        <w:widowControl w:val="0"/>
        <w:numPr>
          <w:ilvl w:val="0"/>
          <w:numId w:val="47"/>
        </w:numPr>
        <w:tabs>
          <w:tab w:val="left" w:pos="284"/>
        </w:tabs>
        <w:spacing w:line="360" w:lineRule="auto"/>
        <w:ind w:left="810"/>
        <w:jc w:val="both"/>
        <w:rPr>
          <w:rFonts w:ascii="Arial" w:hAnsi="Arial" w:cs="Arial"/>
          <w:color w:val="auto"/>
        </w:rPr>
      </w:pPr>
      <w:r w:rsidRPr="00EF2BC8">
        <w:rPr>
          <w:rFonts w:ascii="Arial" w:hAnsi="Arial" w:cs="Arial"/>
          <w:color w:val="auto"/>
        </w:rPr>
        <w:t>poręczeniach bankowych lub poręczeniach spółdzielczej kasy oszczędnościowo-kredytowej, z tym, że zobowiązanie kasy jest zawsze zobowiązaniem pieniężnym;</w:t>
      </w:r>
    </w:p>
    <w:p w14:paraId="26E4D040" w14:textId="77777777" w:rsidR="00D85D1E" w:rsidRPr="00EF2BC8" w:rsidRDefault="00D85D1E" w:rsidP="00D85D1E">
      <w:pPr>
        <w:pStyle w:val="Akapitzlist"/>
        <w:widowControl w:val="0"/>
        <w:numPr>
          <w:ilvl w:val="0"/>
          <w:numId w:val="47"/>
        </w:numPr>
        <w:tabs>
          <w:tab w:val="left" w:pos="284"/>
        </w:tabs>
        <w:spacing w:line="360" w:lineRule="auto"/>
        <w:ind w:left="810"/>
        <w:jc w:val="both"/>
        <w:rPr>
          <w:rFonts w:ascii="Arial" w:hAnsi="Arial" w:cs="Arial"/>
          <w:color w:val="auto"/>
        </w:rPr>
      </w:pPr>
      <w:r w:rsidRPr="00EF2BC8">
        <w:rPr>
          <w:rFonts w:ascii="Arial" w:hAnsi="Arial" w:cs="Arial"/>
          <w:color w:val="auto"/>
        </w:rPr>
        <w:t>gwarancjach bankowych;</w:t>
      </w:r>
    </w:p>
    <w:p w14:paraId="3315E405" w14:textId="77777777" w:rsidR="00D85D1E" w:rsidRPr="00EF2BC8" w:rsidRDefault="00D85D1E" w:rsidP="00D85D1E">
      <w:pPr>
        <w:pStyle w:val="Akapitzlist"/>
        <w:widowControl w:val="0"/>
        <w:numPr>
          <w:ilvl w:val="0"/>
          <w:numId w:val="47"/>
        </w:numPr>
        <w:tabs>
          <w:tab w:val="left" w:pos="284"/>
        </w:tabs>
        <w:spacing w:line="360" w:lineRule="auto"/>
        <w:ind w:left="810"/>
        <w:jc w:val="both"/>
        <w:rPr>
          <w:rFonts w:ascii="Arial" w:hAnsi="Arial" w:cs="Arial"/>
          <w:color w:val="auto"/>
        </w:rPr>
      </w:pPr>
      <w:r w:rsidRPr="00EF2BC8">
        <w:rPr>
          <w:rFonts w:ascii="Arial" w:hAnsi="Arial" w:cs="Arial"/>
          <w:color w:val="auto"/>
        </w:rPr>
        <w:t>gwarancjach ubezpieczeniowych;</w:t>
      </w:r>
    </w:p>
    <w:p w14:paraId="69D95334" w14:textId="77777777" w:rsidR="00D85D1E" w:rsidRPr="00EF2BC8" w:rsidRDefault="00D85D1E" w:rsidP="00D85D1E">
      <w:pPr>
        <w:pStyle w:val="Akapitzlist"/>
        <w:widowControl w:val="0"/>
        <w:numPr>
          <w:ilvl w:val="0"/>
          <w:numId w:val="47"/>
        </w:numPr>
        <w:tabs>
          <w:tab w:val="left" w:pos="284"/>
        </w:tabs>
        <w:spacing w:line="360" w:lineRule="auto"/>
        <w:ind w:left="810"/>
        <w:jc w:val="both"/>
        <w:rPr>
          <w:rFonts w:ascii="Arial" w:hAnsi="Arial" w:cs="Arial"/>
          <w:color w:val="auto"/>
        </w:rPr>
      </w:pPr>
      <w:r w:rsidRPr="00EF2BC8">
        <w:rPr>
          <w:rFonts w:ascii="Arial" w:hAnsi="Arial" w:cs="Arial"/>
          <w:color w:val="auto"/>
        </w:rPr>
        <w:t>poręczeniach udzielanych przez podmioty, o których mowa w art. 6b ust. 5 pkt 2 ustawy z dnia 9 listopada 2000 r. o utworzeniu Polskiej Agencji Rozwoju Przedsiębiorczości.</w:t>
      </w:r>
    </w:p>
    <w:p w14:paraId="5159E55B" w14:textId="055C85D1" w:rsidR="00D85D1E" w:rsidRPr="00EF2BC8" w:rsidRDefault="00D85D1E" w:rsidP="00D85D1E">
      <w:pPr>
        <w:widowControl w:val="0"/>
        <w:numPr>
          <w:ilvl w:val="0"/>
          <w:numId w:val="7"/>
        </w:numPr>
        <w:tabs>
          <w:tab w:val="left" w:pos="284"/>
        </w:tabs>
        <w:spacing w:line="360" w:lineRule="auto"/>
        <w:ind w:left="270" w:hanging="270"/>
        <w:jc w:val="both"/>
        <w:rPr>
          <w:rFonts w:ascii="Arial" w:hAnsi="Arial" w:cs="Arial"/>
          <w:color w:val="auto"/>
        </w:rPr>
      </w:pPr>
      <w:bookmarkStart w:id="2" w:name="_Hlk96349361"/>
      <w:r w:rsidRPr="00EF2BC8">
        <w:rPr>
          <w:rFonts w:ascii="Arial" w:hAnsi="Arial" w:cs="Arial"/>
          <w:color w:val="auto"/>
        </w:rPr>
        <w:t xml:space="preserve">Zabezpieczenie zaliczki musi obejmować kwotę równą kwocie udzielanej zaliczki. Dokument gwarancji (lub poręczenia) musi bezwarunkowo gwarantować wypłatę na rzecz Zamawiającego całej kwoty zaliczki. Ważność dokumentu gwarancyjnego powinna mijać nie wcześniej niż w terminie </w:t>
      </w:r>
      <w:r w:rsidR="008370E5">
        <w:rPr>
          <w:rFonts w:ascii="Arial" w:hAnsi="Arial" w:cs="Arial"/>
          <w:color w:val="auto"/>
        </w:rPr>
        <w:t>6</w:t>
      </w:r>
      <w:r w:rsidRPr="00EF2BC8">
        <w:rPr>
          <w:rFonts w:ascii="Arial" w:hAnsi="Arial" w:cs="Arial"/>
          <w:color w:val="auto"/>
        </w:rPr>
        <w:t xml:space="preserve"> miesięcy od dnia podpisania umowy.</w:t>
      </w:r>
    </w:p>
    <w:bookmarkEnd w:id="2"/>
    <w:p w14:paraId="00C0AA61" w14:textId="77777777" w:rsidR="00D85D1E" w:rsidRPr="00EF2BC8" w:rsidRDefault="00D85D1E" w:rsidP="00D85D1E">
      <w:pPr>
        <w:widowControl w:val="0"/>
        <w:numPr>
          <w:ilvl w:val="0"/>
          <w:numId w:val="7"/>
        </w:numPr>
        <w:spacing w:line="360" w:lineRule="auto"/>
        <w:ind w:left="360"/>
        <w:jc w:val="both"/>
        <w:rPr>
          <w:rFonts w:ascii="Arial" w:hAnsi="Arial" w:cs="Arial"/>
          <w:color w:val="auto"/>
        </w:rPr>
      </w:pPr>
      <w:r w:rsidRPr="00EF2BC8">
        <w:rPr>
          <w:rFonts w:ascii="Arial" w:hAnsi="Arial" w:cs="Arial"/>
          <w:color w:val="auto"/>
        </w:rPr>
        <w:t>Zabezpieczenie zaliczki należy wnieść przed wypłatą zaliczki.</w:t>
      </w:r>
    </w:p>
    <w:p w14:paraId="7A55084D" w14:textId="77777777" w:rsidR="00D85D1E" w:rsidRPr="00EF2BC8" w:rsidRDefault="00D85D1E" w:rsidP="00D85D1E">
      <w:pPr>
        <w:widowControl w:val="0"/>
        <w:numPr>
          <w:ilvl w:val="0"/>
          <w:numId w:val="7"/>
        </w:numPr>
        <w:spacing w:line="360" w:lineRule="auto"/>
        <w:ind w:left="270" w:hanging="270"/>
        <w:jc w:val="both"/>
        <w:rPr>
          <w:rFonts w:ascii="Arial" w:hAnsi="Arial" w:cs="Arial"/>
          <w:color w:val="auto"/>
        </w:rPr>
      </w:pPr>
      <w:bookmarkStart w:id="3" w:name="_Hlk96349409"/>
      <w:r w:rsidRPr="00EF2BC8">
        <w:rPr>
          <w:rFonts w:ascii="Arial" w:hAnsi="Arial" w:cs="Arial"/>
          <w:color w:val="auto"/>
        </w:rPr>
        <w:t>Zabezpieczenie zaliczki zostanie zwrócone po upływie 15 dni od dnia podpisania protokołu odbioru  końcowego robót.</w:t>
      </w:r>
    </w:p>
    <w:bookmarkEnd w:id="3"/>
    <w:p w14:paraId="2B2C739A" w14:textId="77777777" w:rsidR="00D85D1E" w:rsidRPr="00EF2BC8" w:rsidRDefault="00D85D1E" w:rsidP="00D85D1E">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 xml:space="preserve">W przypadku nie zakończenia realizacji robót w terminie określonym jako ważność zabezpieczenia zaliczki, Wykonawca zobowiązany jest przedłużyć lub wnieść nowe zabezpieczenie zaliczki. </w:t>
      </w:r>
    </w:p>
    <w:p w14:paraId="6D6281D3" w14:textId="3A37FF81" w:rsidR="00D85D1E" w:rsidRPr="00C574E5" w:rsidRDefault="00D85D1E" w:rsidP="00C574E5">
      <w:pPr>
        <w:widowControl w:val="0"/>
        <w:numPr>
          <w:ilvl w:val="0"/>
          <w:numId w:val="7"/>
        </w:numPr>
        <w:tabs>
          <w:tab w:val="left" w:pos="284"/>
        </w:tabs>
        <w:spacing w:line="360" w:lineRule="auto"/>
        <w:ind w:left="270" w:hanging="270"/>
        <w:jc w:val="both"/>
        <w:rPr>
          <w:rFonts w:ascii="Arial" w:hAnsi="Arial" w:cs="Arial"/>
          <w:color w:val="auto"/>
        </w:rPr>
      </w:pPr>
      <w:r w:rsidRPr="00EF2BC8">
        <w:rPr>
          <w:rFonts w:ascii="Arial" w:hAnsi="Arial" w:cs="Arial"/>
          <w:color w:val="auto"/>
        </w:rPr>
        <w:t>Po otrzymaniu zaliczki wykonawca wystawi fakturę zaliczkową, nie później niż 15 dnia miesiąca następującego po miesiącu, w którym otrzymał zaliczkę.</w:t>
      </w:r>
    </w:p>
    <w:p w14:paraId="7D23745C" w14:textId="07292ABF" w:rsidR="00C05D61" w:rsidRDefault="001B2D72" w:rsidP="000B2AB8">
      <w:pPr>
        <w:widowControl w:val="0"/>
        <w:numPr>
          <w:ilvl w:val="0"/>
          <w:numId w:val="7"/>
        </w:numPr>
        <w:tabs>
          <w:tab w:val="left" w:pos="284"/>
        </w:tabs>
        <w:spacing w:line="360" w:lineRule="auto"/>
        <w:ind w:left="284" w:hanging="284"/>
        <w:jc w:val="left"/>
        <w:rPr>
          <w:rFonts w:ascii="Arial" w:hAnsi="Arial" w:cs="Arial"/>
          <w:bCs/>
          <w:color w:val="auto"/>
        </w:rPr>
      </w:pPr>
      <w:r w:rsidRPr="00A57DB7">
        <w:rPr>
          <w:rFonts w:ascii="Arial" w:hAnsi="Arial" w:cs="Arial"/>
          <w:bCs/>
          <w:color w:val="auto"/>
        </w:rPr>
        <w:t xml:space="preserve">Rozliczenie następować będzie </w:t>
      </w:r>
      <w:r w:rsidR="00C574E5" w:rsidRPr="00EF2BC8">
        <w:rPr>
          <w:rFonts w:ascii="Arial" w:hAnsi="Arial" w:cs="Arial"/>
          <w:color w:val="auto"/>
        </w:rPr>
        <w:t>na podstawie faktury końcowej po wykonaniu i</w:t>
      </w:r>
      <w:r w:rsidR="00C574E5">
        <w:rPr>
          <w:rFonts w:ascii="Arial" w:hAnsi="Arial" w:cs="Arial"/>
          <w:color w:val="auto"/>
        </w:rPr>
        <w:t> </w:t>
      </w:r>
      <w:r w:rsidR="00C574E5" w:rsidRPr="00EF2BC8">
        <w:rPr>
          <w:rFonts w:ascii="Arial" w:hAnsi="Arial" w:cs="Arial"/>
          <w:color w:val="auto"/>
        </w:rPr>
        <w:t>odbiorze końcowym kompletnego przedmiotu zamówienia</w:t>
      </w:r>
      <w:r w:rsidR="008C0F23">
        <w:rPr>
          <w:rFonts w:ascii="Arial" w:hAnsi="Arial" w:cs="Arial"/>
          <w:color w:val="auto"/>
        </w:rPr>
        <w:t>.</w:t>
      </w:r>
    </w:p>
    <w:p w14:paraId="7C044353" w14:textId="7D29421E" w:rsidR="00C574E5" w:rsidRDefault="00C574E5" w:rsidP="00C574E5">
      <w:pPr>
        <w:widowControl w:val="0"/>
        <w:numPr>
          <w:ilvl w:val="0"/>
          <w:numId w:val="7"/>
        </w:numPr>
        <w:tabs>
          <w:tab w:val="left" w:pos="284"/>
        </w:tabs>
        <w:spacing w:line="360" w:lineRule="auto"/>
        <w:ind w:left="284" w:hanging="284"/>
        <w:jc w:val="both"/>
        <w:rPr>
          <w:rFonts w:ascii="Arial" w:hAnsi="Arial" w:cs="Arial"/>
          <w:bCs/>
          <w:color w:val="auto"/>
        </w:rPr>
      </w:pPr>
      <w:r w:rsidRPr="00EF2BC8">
        <w:rPr>
          <w:rFonts w:ascii="Arial" w:hAnsi="Arial" w:cs="Arial"/>
          <w:bCs/>
          <w:color w:val="auto"/>
        </w:rPr>
        <w:t>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i dokonani</w:t>
      </w:r>
      <w:r w:rsidR="00165B45">
        <w:rPr>
          <w:rFonts w:ascii="Arial" w:hAnsi="Arial" w:cs="Arial"/>
          <w:bCs/>
          <w:color w:val="auto"/>
        </w:rPr>
        <w:t>u</w:t>
      </w:r>
      <w:r w:rsidRPr="00EF2BC8">
        <w:rPr>
          <w:rFonts w:ascii="Arial" w:hAnsi="Arial" w:cs="Arial"/>
          <w:bCs/>
          <w:color w:val="auto"/>
        </w:rPr>
        <w:t xml:space="preserve"> </w:t>
      </w:r>
      <w:r w:rsidRPr="00EF2BC8">
        <w:rPr>
          <w:rFonts w:ascii="Arial" w:hAnsi="Arial" w:cs="Arial"/>
          <w:bCs/>
          <w:color w:val="auto"/>
        </w:rPr>
        <w:lastRenderedPageBreak/>
        <w:t xml:space="preserve">odbioru robót przez Zamawiającego, przelewem na rachunek bankowy Wykonawcy. Wkład własny Zamawiającego wynosi </w:t>
      </w:r>
      <w:r>
        <w:rPr>
          <w:rFonts w:ascii="Arial" w:hAnsi="Arial" w:cs="Arial"/>
          <w:bCs/>
          <w:color w:val="auto"/>
        </w:rPr>
        <w:t>2</w:t>
      </w:r>
      <w:r w:rsidRPr="00EF2BC8">
        <w:rPr>
          <w:rFonts w:ascii="Arial" w:hAnsi="Arial" w:cs="Arial"/>
          <w:bCs/>
          <w:color w:val="auto"/>
        </w:rPr>
        <w:t xml:space="preserve"> % wartości umowy.</w:t>
      </w:r>
    </w:p>
    <w:p w14:paraId="32ED249F" w14:textId="63F8D696" w:rsidR="000508CB" w:rsidRPr="000508CB" w:rsidRDefault="000508CB" w:rsidP="000508CB">
      <w:pPr>
        <w:widowControl w:val="0"/>
        <w:numPr>
          <w:ilvl w:val="0"/>
          <w:numId w:val="7"/>
        </w:numPr>
        <w:tabs>
          <w:tab w:val="left" w:pos="284"/>
        </w:tabs>
        <w:spacing w:line="360" w:lineRule="auto"/>
        <w:ind w:left="284" w:hanging="284"/>
        <w:jc w:val="left"/>
        <w:rPr>
          <w:rFonts w:ascii="Arial" w:hAnsi="Arial" w:cs="Arial"/>
          <w:bCs/>
          <w:color w:val="auto"/>
        </w:rPr>
      </w:pPr>
      <w:r>
        <w:rPr>
          <w:rFonts w:ascii="Arial" w:hAnsi="Arial" w:cs="Arial"/>
          <w:bCs/>
          <w:color w:val="auto"/>
        </w:rPr>
        <w:t>W przypadku, gdy Wykonawcy nie zostanie udzielona zaliczka, z uwagi na niespełnienie przez Wykonawcę warunku określonego w § 6 ust. 6 i 7 Umowy, lub gdy wartość wkładu własnego Zamawiającego przekroczy 2% wartości umowy, Zamawiający przy zapłacie wynagrodzenia najpierw zapłaci Wykonawcy cały wkład własny, a po otrzymaniu dofinansowania pozostałą należność, jednak nie później niż w terminie płatności wystawionej faktury.</w:t>
      </w:r>
    </w:p>
    <w:p w14:paraId="68AB53CC" w14:textId="079F5911"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w:t>
      </w:r>
      <w:bookmarkStart w:id="4" w:name="_Hlk160452279"/>
      <w:r w:rsidRPr="005465DF">
        <w:rPr>
          <w:rFonts w:ascii="Arial" w:hAnsi="Arial" w:cs="Arial"/>
          <w:bCs/>
          <w:color w:val="auto"/>
        </w:rPr>
        <w:t xml:space="preserve">do </w:t>
      </w:r>
      <w:r w:rsidR="000A6020" w:rsidRPr="005465DF">
        <w:rPr>
          <w:rFonts w:ascii="Arial" w:hAnsi="Arial" w:cs="Arial"/>
          <w:bCs/>
          <w:color w:val="auto"/>
        </w:rPr>
        <w:t>30</w:t>
      </w:r>
      <w:r w:rsidRPr="005465DF">
        <w:rPr>
          <w:rFonts w:ascii="Arial" w:hAnsi="Arial" w:cs="Arial"/>
          <w:bCs/>
          <w:color w:val="auto"/>
        </w:rPr>
        <w:t xml:space="preserve"> dni od daty prawidłowo wystawionej</w:t>
      </w:r>
      <w:r w:rsidR="00F07E6D">
        <w:rPr>
          <w:rFonts w:ascii="Arial" w:hAnsi="Arial" w:cs="Arial"/>
          <w:bCs/>
          <w:color w:val="auto"/>
        </w:rPr>
        <w:t xml:space="preserve"> faktury</w:t>
      </w:r>
      <w:bookmarkEnd w:id="4"/>
      <w:r w:rsidRPr="005465DF">
        <w:rPr>
          <w:rFonts w:ascii="Arial" w:hAnsi="Arial" w:cs="Arial"/>
          <w:bCs/>
          <w:color w:val="auto"/>
        </w:rPr>
        <w:t>.</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2020 r. poz. 1666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3A41B449"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Dz. U. z 202</w:t>
      </w:r>
      <w:r w:rsidR="00713FA6">
        <w:rPr>
          <w:rFonts w:ascii="Arial" w:hAnsi="Arial" w:cs="Arial"/>
          <w:bCs/>
          <w:color w:val="auto"/>
        </w:rPr>
        <w:t>3</w:t>
      </w:r>
      <w:r w:rsidR="00545C83" w:rsidRPr="00545C83">
        <w:rPr>
          <w:rFonts w:ascii="Arial" w:hAnsi="Arial" w:cs="Arial"/>
          <w:bCs/>
          <w:color w:val="auto"/>
        </w:rPr>
        <w:t xml:space="preserve"> r. poz. </w:t>
      </w:r>
      <w:r w:rsidR="00713FA6">
        <w:rPr>
          <w:rFonts w:ascii="Arial" w:hAnsi="Arial" w:cs="Arial"/>
          <w:bCs/>
          <w:color w:val="auto"/>
        </w:rPr>
        <w:t>1570</w:t>
      </w:r>
      <w:r w:rsidR="00545C83" w:rsidRPr="00545C83">
        <w:rPr>
          <w:rFonts w:ascii="Arial" w:hAnsi="Arial" w:cs="Arial"/>
          <w:bCs/>
          <w:color w:val="auto"/>
        </w:rPr>
        <w:t xml:space="preserve">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lastRenderedPageBreak/>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lastRenderedPageBreak/>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46EE6501"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67E156E1"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5C3C88">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4ACEDEF0"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w:t>
      </w:r>
      <w:r w:rsidR="005C3C88">
        <w:rPr>
          <w:rFonts w:ascii="Arial" w:hAnsi="Arial" w:cs="Arial"/>
          <w:bCs/>
          <w:color w:val="auto"/>
        </w:rPr>
        <w:t>0</w:t>
      </w:r>
      <w:r w:rsidRPr="008D715D">
        <w:rPr>
          <w:rFonts w:ascii="Arial" w:hAnsi="Arial" w:cs="Arial"/>
          <w:bCs/>
          <w:color w:val="auto"/>
        </w:rPr>
        <w:t>1% wynagrodzenia brutto określonego 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D4B77E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5C3C88">
        <w:rPr>
          <w:rFonts w:ascii="Arial" w:hAnsi="Arial" w:cs="Arial"/>
          <w:bCs/>
          <w:color w:val="auto"/>
        </w:rPr>
        <w:t>0</w:t>
      </w:r>
      <w:r w:rsidR="00D36252" w:rsidRPr="008D715D">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296FC071"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33FA0419" w14:textId="27C41BEB"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 xml:space="preserve">przypadku gdy termin zapłaty wynagrodzenia podwykonawcy lub dalszemu podwykonawcy, przewidziany w umowie o podwykonawstwo, jest dłuższy niż 30 dni </w:t>
      </w:r>
      <w:r w:rsidRPr="008D715D">
        <w:rPr>
          <w:rFonts w:ascii="Arial" w:hAnsi="Arial" w:cs="Arial"/>
          <w:bCs/>
          <w:color w:val="auto"/>
        </w:rPr>
        <w:lastRenderedPageBreak/>
        <w:t>od dnia doręczenia wykonawcy, podwykonawcy lub dalszemu podwykonawcy faktury lub rachunku – w wysokości 500,00 zł za każdy przypadek naruszenia</w:t>
      </w:r>
      <w:r w:rsidR="006B7088">
        <w:rPr>
          <w:rFonts w:ascii="Arial" w:hAnsi="Arial" w:cs="Arial"/>
          <w:bCs/>
          <w:color w:val="auto"/>
        </w:rPr>
        <w:t>,</w:t>
      </w:r>
    </w:p>
    <w:p w14:paraId="74108ACB" w14:textId="2667197B" w:rsidR="006B7088" w:rsidRDefault="000A6020" w:rsidP="00BD6E99">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097B2336" w14:textId="77E16C85" w:rsidR="005C3C88" w:rsidRPr="005C3C88" w:rsidRDefault="005C3C88" w:rsidP="005C3C88">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 xml:space="preserve">z tytułu braku zapłaty lub zwłoki w zapłacie wynagrodzenia należnego podwykonawcom z tytułu zmiany wysokości wynagrodzenia, o której mowa w art. 439 ust. 5 ustawy </w:t>
      </w:r>
      <w:proofErr w:type="spellStart"/>
      <w:r w:rsidRPr="00B01811">
        <w:rPr>
          <w:rFonts w:ascii="Arial" w:hAnsi="Arial" w:cs="Arial"/>
          <w:color w:val="auto"/>
        </w:rPr>
        <w:t>Pzp</w:t>
      </w:r>
      <w:proofErr w:type="spellEnd"/>
      <w:r w:rsidRPr="00B01811">
        <w:rPr>
          <w:rFonts w:ascii="Arial" w:hAnsi="Arial" w:cs="Arial"/>
          <w:color w:val="auto"/>
        </w:rPr>
        <w:t xml:space="preserve"> w wysokości 0,</w:t>
      </w:r>
      <w:r>
        <w:rPr>
          <w:rFonts w:ascii="Arial" w:hAnsi="Arial" w:cs="Arial"/>
          <w:color w:val="auto"/>
        </w:rPr>
        <w:t>01</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w:t>
      </w:r>
      <w:r w:rsidR="00370919" w:rsidRPr="008D715D">
        <w:rPr>
          <w:rFonts w:ascii="Arial" w:hAnsi="Arial" w:cs="Arial"/>
          <w:bCs/>
          <w:color w:val="auto"/>
        </w:rPr>
        <w:lastRenderedPageBreak/>
        <w:t xml:space="preserve">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lastRenderedPageBreak/>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może powierzyć wykonanie części zadania podwykonawcom, </w:t>
      </w:r>
      <w:r w:rsidRPr="00D52BD4">
        <w:rPr>
          <w:rFonts w:ascii="Arial" w:eastAsia="Times New Roman" w:hAnsi="Arial" w:cs="Arial"/>
          <w:color w:val="auto"/>
          <w:lang w:eastAsia="ar-SA"/>
        </w:rPr>
        <w:lastRenderedPageBreak/>
        <w:t>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 xml:space="preserve">zamiarze zawarcia umowy przez podwykonawcę z dalszym podwykonawcą </w:t>
      </w:r>
      <w:r w:rsidRPr="00D52BD4">
        <w:rPr>
          <w:rFonts w:ascii="Arial" w:eastAsia="Times New Roman" w:hAnsi="Arial" w:cs="Arial"/>
          <w:color w:val="auto"/>
          <w:lang w:eastAsia="ar-SA"/>
        </w:rPr>
        <w:lastRenderedPageBreak/>
        <w:t>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24D88CA2"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w:t>
      </w:r>
      <w:r w:rsidRPr="00D52BD4">
        <w:rPr>
          <w:rFonts w:ascii="Arial" w:eastAsia="Times New Roman" w:hAnsi="Arial" w:cs="Arial"/>
          <w:color w:val="auto"/>
          <w:lang w:eastAsia="ar-SA"/>
        </w:rPr>
        <w:lastRenderedPageBreak/>
        <w:t xml:space="preserve">odpowiedzialności solidarnej, po zapoznaniu się z zawartą umową podwykonawstwo spełniającą wymagania wskazane w niniejszej umowie.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w:t>
      </w:r>
      <w:r w:rsidRPr="00D52BD4">
        <w:rPr>
          <w:rFonts w:ascii="Arial" w:eastAsia="Times New Roman" w:hAnsi="Arial" w:cs="Arial"/>
          <w:color w:val="auto"/>
          <w:lang w:eastAsia="ar-SA"/>
        </w:rPr>
        <w:lastRenderedPageBreak/>
        <w:t>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 xml:space="preserve">dalsze podwykonawstwo, których niespełnienie spowoduje zgłoszenie sprzeciwu </w:t>
      </w:r>
      <w:r w:rsidR="00C52806" w:rsidRPr="00D52BD4">
        <w:rPr>
          <w:rFonts w:ascii="Arial" w:eastAsia="Times New Roman" w:hAnsi="Arial" w:cs="Arial"/>
          <w:color w:val="auto"/>
          <w:lang w:eastAsia="ar-SA"/>
        </w:rPr>
        <w:lastRenderedPageBreak/>
        <w:t>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lastRenderedPageBreak/>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2BD6213E"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ED3CBC">
        <w:rPr>
          <w:rFonts w:ascii="Arial" w:hAnsi="Arial" w:cs="Arial"/>
          <w:color w:val="auto"/>
        </w:rPr>
        <w:t>4</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lastRenderedPageBreak/>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096C9990" w14:textId="77777777" w:rsidR="005C3C88" w:rsidRDefault="005C3C88" w:rsidP="005C3C88">
      <w:pPr>
        <w:pStyle w:val="Akapitzlist"/>
        <w:numPr>
          <w:ilvl w:val="0"/>
          <w:numId w:val="14"/>
        </w:numPr>
        <w:spacing w:line="360" w:lineRule="auto"/>
        <w:ind w:left="270"/>
        <w:jc w:val="left"/>
        <w:rPr>
          <w:rFonts w:ascii="Arial" w:hAnsi="Arial" w:cs="Arial"/>
          <w:iCs/>
          <w:color w:val="auto"/>
        </w:rPr>
      </w:pPr>
      <w:r w:rsidRPr="009C2778">
        <w:rPr>
          <w:rFonts w:ascii="Arial" w:hAnsi="Arial" w:cs="Arial"/>
          <w:color w:val="auto"/>
        </w:rPr>
        <w:t>Dopuszczalne jest dokonanie zmian umowy w przypadkach przewidzianych w art. 455 ustawy z dnia 11 września 2019 roku Prawo zamówień publicznych oraz w przypadku</w:t>
      </w:r>
      <w:r w:rsidRPr="009C2778">
        <w:rPr>
          <w:rFonts w:ascii="Arial" w:hAnsi="Arial" w:cs="Arial"/>
          <w:iCs/>
          <w:color w:val="auto"/>
        </w:rPr>
        <w:t>:</w:t>
      </w:r>
    </w:p>
    <w:p w14:paraId="264BE495" w14:textId="77777777" w:rsidR="005C3C88" w:rsidRDefault="005C3C88" w:rsidP="005C3C88">
      <w:pPr>
        <w:pStyle w:val="Akapitzlist"/>
        <w:numPr>
          <w:ilvl w:val="0"/>
          <w:numId w:val="44"/>
        </w:numPr>
        <w:spacing w:line="360" w:lineRule="auto"/>
        <w:jc w:val="left"/>
        <w:rPr>
          <w:rFonts w:ascii="Arial" w:hAnsi="Arial" w:cs="Arial"/>
          <w:iCs/>
          <w:color w:val="auto"/>
        </w:rPr>
      </w:pPr>
      <w:r w:rsidRPr="009C2778">
        <w:rPr>
          <w:rFonts w:ascii="Arial" w:hAnsi="Arial" w:cs="Arial"/>
          <w:iCs/>
          <w:color w:val="auto"/>
        </w:rPr>
        <w:t>jeżeli zmiana umowy dotyczyć będzie zmiany wysokości wynagrodzenia dla Wykonawcy, a spowodowana będzie</w:t>
      </w:r>
      <w:r>
        <w:rPr>
          <w:rFonts w:ascii="Arial" w:hAnsi="Arial" w:cs="Arial"/>
          <w:iCs/>
          <w:color w:val="auto"/>
        </w:rPr>
        <w:t>:</w:t>
      </w:r>
    </w:p>
    <w:p w14:paraId="488CF59B" w14:textId="77777777" w:rsidR="005C3C88" w:rsidRPr="009C2778" w:rsidRDefault="005C3C88" w:rsidP="005C3C88">
      <w:pPr>
        <w:pStyle w:val="Akapitzlist"/>
        <w:numPr>
          <w:ilvl w:val="0"/>
          <w:numId w:val="45"/>
        </w:numPr>
        <w:spacing w:line="360" w:lineRule="auto"/>
        <w:ind w:left="1440"/>
        <w:jc w:val="left"/>
        <w:rPr>
          <w:rFonts w:ascii="Arial" w:hAnsi="Arial" w:cs="Arial"/>
          <w:iCs/>
          <w:color w:val="auto"/>
        </w:rPr>
      </w:pPr>
      <w:r w:rsidRPr="009C2778">
        <w:rPr>
          <w:rFonts w:ascii="Arial" w:hAnsi="Arial" w:cs="Arial"/>
          <w:iCs/>
          <w:color w:val="auto"/>
        </w:rPr>
        <w:t>zmianą cen materiałów lub kosztów związanych z realizacją zamówienia przekraczającą 10% wartości początkowej. Jako początkowy termin ustalenia zmiany wynagrodzenia określa się dzień, na który przypadał termin składania ofert w postępowaniu, na podstawie którego została zawarta niniejsza umowa. Maksymalna wartość zmian nie może przekroczyć 15% wartości początkowej</w:t>
      </w:r>
      <w:r>
        <w:rPr>
          <w:rFonts w:ascii="Arial" w:hAnsi="Arial" w:cs="Arial"/>
          <w:iCs/>
          <w:color w:val="auto"/>
        </w:rPr>
        <w:t>;</w:t>
      </w:r>
    </w:p>
    <w:p w14:paraId="62B70E1A" w14:textId="77777777" w:rsidR="005C3C88" w:rsidRDefault="005C3C88" w:rsidP="005C3C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t>zmianą stawki podatku od towarów i usług oraz podatku akcyzowego</w:t>
      </w:r>
      <w:r>
        <w:rPr>
          <w:rFonts w:ascii="Arial" w:hAnsi="Arial" w:cs="Arial"/>
          <w:iCs/>
          <w:color w:val="auto"/>
        </w:rPr>
        <w:t>;</w:t>
      </w:r>
    </w:p>
    <w:p w14:paraId="23A4F0A3" w14:textId="77777777" w:rsidR="005C3C88" w:rsidRDefault="005C3C88" w:rsidP="005C3C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t>zmianą wysokości minimalnego wynagrodzenia za pracę albo wysokości minimalnej stawki godzinowej, ustalonych na podstawie ustawy z dnia 10 października 2002 r. o minimalnym wynagrodzeniu za pracę</w:t>
      </w:r>
      <w:r>
        <w:rPr>
          <w:rFonts w:ascii="Arial" w:hAnsi="Arial" w:cs="Arial"/>
          <w:iCs/>
          <w:color w:val="auto"/>
        </w:rPr>
        <w:t>;</w:t>
      </w:r>
    </w:p>
    <w:p w14:paraId="09B053FE" w14:textId="77777777" w:rsidR="005C3C88" w:rsidRPr="004E27C0" w:rsidRDefault="005C3C88" w:rsidP="005C3C88">
      <w:pPr>
        <w:pStyle w:val="Nagwek"/>
        <w:numPr>
          <w:ilvl w:val="0"/>
          <w:numId w:val="45"/>
        </w:numPr>
        <w:tabs>
          <w:tab w:val="clear" w:pos="4536"/>
          <w:tab w:val="clear" w:pos="9072"/>
          <w:tab w:val="left" w:pos="851"/>
        </w:tabs>
        <w:spacing w:line="360" w:lineRule="auto"/>
        <w:ind w:left="1440"/>
        <w:jc w:val="left"/>
        <w:rPr>
          <w:rFonts w:ascii="Arial" w:hAnsi="Arial" w:cs="Arial"/>
          <w:iCs/>
          <w:color w:val="auto"/>
        </w:rPr>
      </w:pPr>
      <w:r w:rsidRPr="004E27C0">
        <w:rPr>
          <w:rFonts w:ascii="Arial" w:hAnsi="Arial" w:cs="Arial"/>
          <w:iCs/>
          <w:color w:val="auto"/>
        </w:rPr>
        <w:t>zmianą zasad podlegania ubezpieczeniom społecznym lub ubezpieczeniu zdrowotnemu lub wysokości stawki składki na ubezpieczenia społeczne lub ubezpieczenie zdrowotne</w:t>
      </w:r>
      <w:r>
        <w:rPr>
          <w:rFonts w:ascii="Arial" w:hAnsi="Arial" w:cs="Arial"/>
          <w:iCs/>
          <w:color w:val="auto"/>
        </w:rPr>
        <w:t>;</w:t>
      </w:r>
    </w:p>
    <w:p w14:paraId="4C92E248" w14:textId="72B49069" w:rsidR="005C3C88" w:rsidRDefault="005C3C88" w:rsidP="005C3C88">
      <w:pPr>
        <w:pStyle w:val="Akapitzlist"/>
        <w:numPr>
          <w:ilvl w:val="0"/>
          <w:numId w:val="45"/>
        </w:numPr>
        <w:spacing w:line="360" w:lineRule="auto"/>
        <w:ind w:left="1440"/>
        <w:jc w:val="left"/>
        <w:rPr>
          <w:rFonts w:ascii="Arial" w:hAnsi="Arial" w:cs="Arial"/>
          <w:iCs/>
          <w:color w:val="auto"/>
        </w:rPr>
      </w:pPr>
      <w:r w:rsidRPr="004E27C0">
        <w:rPr>
          <w:rFonts w:ascii="Arial" w:hAnsi="Arial" w:cs="Arial"/>
          <w:iCs/>
          <w:color w:val="auto"/>
        </w:rPr>
        <w:lastRenderedPageBreak/>
        <w:t>zmianą zasad gromadzenia i wysokości wpłat do pracowniczych planów kapitałowych, o których mowa w ustawie z dnia 4 października 2018 r. o</w:t>
      </w:r>
      <w:r>
        <w:rPr>
          <w:rFonts w:ascii="Arial" w:hAnsi="Arial" w:cs="Arial"/>
          <w:iCs/>
          <w:color w:val="auto"/>
        </w:rPr>
        <w:t> </w:t>
      </w:r>
      <w:r w:rsidRPr="004E27C0">
        <w:rPr>
          <w:rFonts w:ascii="Arial" w:hAnsi="Arial" w:cs="Arial"/>
          <w:iCs/>
          <w:color w:val="auto"/>
        </w:rPr>
        <w:t>pracowniczych planach kapitałowych (</w:t>
      </w:r>
      <w:proofErr w:type="spellStart"/>
      <w:r w:rsidR="000766F3">
        <w:rPr>
          <w:rFonts w:ascii="Arial" w:hAnsi="Arial" w:cs="Arial"/>
          <w:iCs/>
          <w:color w:val="auto"/>
        </w:rPr>
        <w:t>t.j</w:t>
      </w:r>
      <w:proofErr w:type="spellEnd"/>
      <w:r w:rsidR="000766F3">
        <w:rPr>
          <w:rFonts w:ascii="Arial" w:hAnsi="Arial" w:cs="Arial"/>
          <w:iCs/>
          <w:color w:val="auto"/>
        </w:rPr>
        <w:t xml:space="preserve">. </w:t>
      </w:r>
      <w:r w:rsidR="00E16E22" w:rsidRPr="00E16E22">
        <w:rPr>
          <w:rFonts w:ascii="Arial" w:hAnsi="Arial" w:cs="Arial"/>
        </w:rPr>
        <w:t>Dz.U. z 2023 poz. 46 z</w:t>
      </w:r>
      <w:r w:rsidR="00E16E22">
        <w:rPr>
          <w:rFonts w:ascii="Arial" w:hAnsi="Arial" w:cs="Arial"/>
        </w:rPr>
        <w:t> </w:t>
      </w:r>
      <w:r w:rsidR="00E16E22" w:rsidRPr="00E16E22">
        <w:rPr>
          <w:rFonts w:ascii="Arial" w:hAnsi="Arial" w:cs="Arial"/>
        </w:rPr>
        <w:t>późn.zm.)</w:t>
      </w:r>
      <w:r>
        <w:rPr>
          <w:rFonts w:ascii="Arial" w:hAnsi="Arial" w:cs="Arial"/>
          <w:iCs/>
          <w:color w:val="auto"/>
        </w:rPr>
        <w:t>;</w:t>
      </w:r>
    </w:p>
    <w:p w14:paraId="142F5185" w14:textId="38C95CEA" w:rsidR="006B7088" w:rsidRPr="005C3C88" w:rsidRDefault="005C3C88" w:rsidP="005C3C88">
      <w:pPr>
        <w:pStyle w:val="Akapitzlist"/>
        <w:numPr>
          <w:ilvl w:val="0"/>
          <w:numId w:val="44"/>
        </w:numPr>
        <w:spacing w:line="360" w:lineRule="auto"/>
        <w:jc w:val="left"/>
        <w:rPr>
          <w:rFonts w:ascii="Arial" w:hAnsi="Arial" w:cs="Arial"/>
          <w:iCs/>
          <w:color w:val="auto"/>
        </w:rPr>
      </w:pPr>
      <w:r w:rsidRPr="009C2778">
        <w:rPr>
          <w:rFonts w:ascii="Arial" w:hAnsi="Arial" w:cs="Arial"/>
          <w:iCs/>
          <w:color w:val="auto"/>
        </w:rPr>
        <w:t>jeżeli zmiana umowy spowodowana będzie siłą wyższą uniemożliwiającą wykonanie przedmiotu umowy zgodnie z SWZ</w:t>
      </w:r>
      <w:r>
        <w:rPr>
          <w:rFonts w:ascii="Arial" w:hAnsi="Arial" w:cs="Arial"/>
          <w:iCs/>
          <w:color w:val="auto"/>
        </w:rPr>
        <w:t>;</w:t>
      </w:r>
    </w:p>
    <w:p w14:paraId="4E5BD999" w14:textId="25F31C2E" w:rsidR="00ED3CBC" w:rsidRPr="00ED3CBC" w:rsidRDefault="00ED3CBC" w:rsidP="00ED3CBC">
      <w:pPr>
        <w:pStyle w:val="Nagwek"/>
        <w:numPr>
          <w:ilvl w:val="0"/>
          <w:numId w:val="14"/>
        </w:numPr>
        <w:tabs>
          <w:tab w:val="left" w:pos="426"/>
        </w:tabs>
        <w:spacing w:line="360" w:lineRule="auto"/>
        <w:ind w:left="360"/>
        <w:jc w:val="left"/>
        <w:rPr>
          <w:rStyle w:val="DeltaViewInsertion"/>
          <w:rFonts w:ascii="Arial" w:eastAsia="Arial Unicode MS" w:hAnsi="Arial" w:cs="Arial"/>
          <w:color w:val="auto"/>
          <w:u w:val="none"/>
        </w:rPr>
      </w:pPr>
      <w:r w:rsidRPr="00ED3CBC">
        <w:rPr>
          <w:rStyle w:val="DeltaViewInsertion"/>
          <w:rFonts w:ascii="Arial" w:eastAsia="Arial Unicode MS" w:hAnsi="Arial" w:cs="Arial"/>
          <w:color w:val="auto"/>
          <w:u w:val="none"/>
        </w:rPr>
        <w:t xml:space="preserve">W przypadku inicjacji zmian opisanych w ust. </w:t>
      </w:r>
      <w:r>
        <w:rPr>
          <w:rStyle w:val="DeltaViewInsertion"/>
          <w:rFonts w:ascii="Arial" w:eastAsia="Arial Unicode MS" w:hAnsi="Arial" w:cs="Arial"/>
          <w:color w:val="auto"/>
          <w:u w:val="none"/>
        </w:rPr>
        <w:t>7</w:t>
      </w:r>
      <w:r w:rsidRPr="00ED3CBC">
        <w:rPr>
          <w:rStyle w:val="DeltaViewInsertion"/>
          <w:rFonts w:ascii="Arial" w:eastAsia="Arial Unicode MS" w:hAnsi="Arial" w:cs="Arial"/>
          <w:color w:val="auto"/>
          <w:u w:val="none"/>
        </w:rPr>
        <w:t xml:space="preserve"> pkt 1 lit. b – e, Wykonawca zobowiązany będzie do wykazania Zamawiającemu, iż opisane podstawy zmiany mają wpływ na koszty wykonywania zamówienia. Wykazanie polegać będzie na przedstawieniu Zamawiającemu dokładnych wyliczeń kosztów wraz z dowodami oraz zaproponowaniu na ich podstawie nowej wartości umowy.</w:t>
      </w:r>
    </w:p>
    <w:p w14:paraId="6E5EA380" w14:textId="0AC71822" w:rsidR="00ED3CBC" w:rsidRPr="00ED3CBC" w:rsidRDefault="00ED3CBC" w:rsidP="00ED3CBC">
      <w:pPr>
        <w:pStyle w:val="Nagwek"/>
        <w:numPr>
          <w:ilvl w:val="0"/>
          <w:numId w:val="14"/>
        </w:numPr>
        <w:tabs>
          <w:tab w:val="left" w:pos="426"/>
        </w:tabs>
        <w:spacing w:line="360" w:lineRule="auto"/>
        <w:ind w:left="360"/>
        <w:jc w:val="left"/>
        <w:rPr>
          <w:rStyle w:val="DeltaViewInsertion"/>
          <w:rFonts w:ascii="Arial" w:eastAsia="Arial Unicode MS" w:hAnsi="Arial" w:cs="Arial"/>
          <w:color w:val="auto"/>
          <w:u w:val="none"/>
        </w:rPr>
      </w:pPr>
      <w:r w:rsidRPr="00ED3CBC">
        <w:rPr>
          <w:rStyle w:val="DeltaViewInsertion"/>
          <w:rFonts w:ascii="Arial" w:eastAsia="Arial Unicode MS" w:hAnsi="Arial" w:cs="Arial"/>
          <w:color w:val="auto"/>
          <w:u w:val="none"/>
        </w:rPr>
        <w:t xml:space="preserve">W przypadku zmiany określonej w ust. </w:t>
      </w:r>
      <w:r>
        <w:rPr>
          <w:rStyle w:val="DeltaViewInsertion"/>
          <w:rFonts w:ascii="Arial" w:eastAsia="Arial Unicode MS" w:hAnsi="Arial" w:cs="Arial"/>
          <w:color w:val="auto"/>
          <w:u w:val="none"/>
        </w:rPr>
        <w:t>7</w:t>
      </w:r>
      <w:r w:rsidRPr="00ED3CBC">
        <w:rPr>
          <w:rStyle w:val="DeltaViewInsertion"/>
          <w:rFonts w:ascii="Arial" w:eastAsia="Arial Unicode MS" w:hAnsi="Arial" w:cs="Arial"/>
          <w:color w:val="auto"/>
          <w:u w:val="none"/>
        </w:rPr>
        <w:t xml:space="preserve"> pkt 1 lit. a, inicjujący zmianę zobowiązany będzie do określenia wpływu zmiany na cenę materiałów lub kosztów zamówienia przy pomocy dokładnych obliczeń oraz przedłożenia materiałów dowodowych potwierdzających ten wpływ. Podstawą zmiany wynagrodzenia będzie przedstawienie wskaźnika zmiany ceny materiału lub usługi, który będzie wiarygodnie potwierdzać zmianę.</w:t>
      </w:r>
    </w:p>
    <w:p w14:paraId="2021622D" w14:textId="26DC5968"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 xml:space="preserve">Jeżeli konieczność robót dodatkowych wynika z decyzji organów nadzoru budowlanego </w:t>
      </w:r>
      <w:r w:rsidRPr="007B24C2">
        <w:rPr>
          <w:rFonts w:ascii="Arial" w:hAnsi="Arial" w:cs="Arial"/>
          <w:color w:val="auto"/>
        </w:rPr>
        <w:lastRenderedPageBreak/>
        <w:t>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7F32C751" w14:textId="01358682" w:rsidR="00ED3CBC" w:rsidRDefault="00ED3CBC" w:rsidP="00ED3CBC">
      <w:pPr>
        <w:widowControl w:val="0"/>
        <w:numPr>
          <w:ilvl w:val="0"/>
          <w:numId w:val="19"/>
        </w:numPr>
        <w:tabs>
          <w:tab w:val="left" w:pos="284"/>
        </w:tabs>
        <w:spacing w:line="360" w:lineRule="auto"/>
        <w:ind w:left="284" w:hanging="284"/>
        <w:jc w:val="left"/>
        <w:rPr>
          <w:rFonts w:ascii="Arial" w:hAnsi="Arial" w:cs="Arial"/>
          <w:color w:val="auto"/>
        </w:rPr>
      </w:pPr>
      <w:r w:rsidRPr="00EF2BC8">
        <w:rPr>
          <w:rFonts w:ascii="Arial" w:hAnsi="Arial" w:cs="Arial"/>
          <w:color w:val="auto"/>
        </w:rPr>
        <w:lastRenderedPageBreak/>
        <w:t>Strony deklarują, iż ewentualne spory na tle niniejszej umowy w relacjach z wykonawcą o roszczenia cywilnoprawne w sprawach, w których zawarcie ugody jest dopuszczalne, poddadzą mediacj</w:t>
      </w:r>
      <w:r w:rsidR="000766F3">
        <w:rPr>
          <w:rFonts w:ascii="Arial" w:hAnsi="Arial" w:cs="Arial"/>
          <w:color w:val="auto"/>
        </w:rPr>
        <w:t>i</w:t>
      </w:r>
      <w:r w:rsidRPr="00EF2BC8">
        <w:rPr>
          <w:rFonts w:ascii="Arial" w:hAnsi="Arial" w:cs="Arial"/>
          <w:color w:val="auto"/>
        </w:rPr>
        <w:t xml:space="preserve"> lub innemu polubownemu rozwiązaniu sporu przed Sądem Polubownym przy Prokuratorii Generalnej Rzeczypospolitej Polskiej, wybranym mediatorem lub osobą prowadzącą inne polubowne rozwiązanie sporu. W</w:t>
      </w:r>
      <w:r>
        <w:rPr>
          <w:rFonts w:ascii="Arial" w:hAnsi="Arial" w:cs="Arial"/>
          <w:color w:val="auto"/>
        </w:rPr>
        <w:t> </w:t>
      </w:r>
      <w:r w:rsidRPr="00EF2BC8">
        <w:rPr>
          <w:rFonts w:ascii="Arial" w:hAnsi="Arial" w:cs="Arial"/>
          <w:color w:val="auto"/>
        </w:rPr>
        <w:t xml:space="preserve">przypadku nie zawarcia ugody w przewidzianym trybie, sądem właściwym jest sąd </w:t>
      </w:r>
      <w:r w:rsidR="000766F3">
        <w:rPr>
          <w:rFonts w:ascii="Arial" w:hAnsi="Arial" w:cs="Arial"/>
          <w:color w:val="auto"/>
        </w:rPr>
        <w:t xml:space="preserve">powszechny </w:t>
      </w:r>
      <w:r w:rsidRPr="00EF2BC8">
        <w:rPr>
          <w:rFonts w:ascii="Arial" w:hAnsi="Arial" w:cs="Arial"/>
          <w:color w:val="auto"/>
        </w:rPr>
        <w:t xml:space="preserve"> właściwy dla siedziby Zamawiającego</w:t>
      </w:r>
      <w:r>
        <w:rPr>
          <w:rFonts w:ascii="Arial" w:hAnsi="Arial" w:cs="Arial"/>
          <w:color w:val="auto"/>
        </w:rPr>
        <w:t>.</w:t>
      </w:r>
    </w:p>
    <w:p w14:paraId="47C30BEC" w14:textId="141EDDE1"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257811">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F8E6" w14:textId="77777777" w:rsidR="00257811" w:rsidRDefault="00257811">
      <w:r>
        <w:separator/>
      </w:r>
    </w:p>
  </w:endnote>
  <w:endnote w:type="continuationSeparator" w:id="0">
    <w:p w14:paraId="664DF306" w14:textId="77777777" w:rsidR="00257811" w:rsidRDefault="0025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49EE" w14:textId="77777777" w:rsidR="00257811" w:rsidRDefault="00257811">
      <w:r>
        <w:separator/>
      </w:r>
    </w:p>
  </w:footnote>
  <w:footnote w:type="continuationSeparator" w:id="0">
    <w:p w14:paraId="48D9510E" w14:textId="77777777" w:rsidR="00257811" w:rsidRDefault="0025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63753B77" w:rsidR="00D36B3A" w:rsidRDefault="00D36B3A" w:rsidP="00922797">
    <w:pPr>
      <w:pStyle w:val="Nagwek"/>
      <w:jc w:val="right"/>
      <w:rPr>
        <w:rFonts w:ascii="Arial" w:hAnsi="Arial"/>
        <w:b/>
      </w:rPr>
    </w:pPr>
    <w:r w:rsidRPr="004B5430">
      <w:rPr>
        <w:rFonts w:ascii="Arial" w:hAnsi="Arial"/>
      </w:rPr>
      <w:t>Nr postępowania:</w:t>
    </w:r>
    <w:r w:rsidRPr="004B5430">
      <w:t xml:space="preserve"> </w:t>
    </w:r>
    <w:r w:rsidRPr="004B5430">
      <w:rPr>
        <w:rFonts w:ascii="Arial" w:hAnsi="Arial"/>
        <w:b/>
      </w:rPr>
      <w:t>ZDP.11.272.</w:t>
    </w:r>
    <w:r w:rsidR="001047C1">
      <w:rPr>
        <w:rFonts w:ascii="Arial" w:hAnsi="Arial"/>
        <w:b/>
      </w:rPr>
      <w:t>5</w:t>
    </w:r>
    <w:r w:rsidRPr="004B5430">
      <w:rPr>
        <w:rFonts w:ascii="Arial" w:hAnsi="Arial"/>
        <w:b/>
      </w:rPr>
      <w:t>.202</w:t>
    </w:r>
    <w:r w:rsidR="004839CF">
      <w:rPr>
        <w:rFonts w:ascii="Arial" w:hAnsi="Arial"/>
        <w:b/>
      </w:rPr>
      <w:t>4</w:t>
    </w: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1047C1" w14:paraId="6D835A8C" w14:textId="77777777" w:rsidTr="00DD7F63">
      <w:tc>
        <w:tcPr>
          <w:tcW w:w="4788" w:type="dxa"/>
        </w:tcPr>
        <w:p w14:paraId="75651F24" w14:textId="77777777" w:rsidR="001047C1" w:rsidRDefault="001047C1" w:rsidP="001047C1">
          <w:pPr>
            <w:pStyle w:val="Nagwek"/>
          </w:pPr>
        </w:p>
      </w:tc>
      <w:tc>
        <w:tcPr>
          <w:tcW w:w="2445" w:type="dxa"/>
          <w:vAlign w:val="center"/>
        </w:tcPr>
        <w:p w14:paraId="43689C71" w14:textId="77777777" w:rsidR="001047C1" w:rsidRDefault="001047C1" w:rsidP="001047C1">
          <w:pPr>
            <w:pStyle w:val="Nagwek"/>
          </w:pPr>
          <w:r>
            <w:rPr>
              <w:noProof/>
            </w:rPr>
            <w:drawing>
              <wp:inline distT="0" distB="0" distL="0" distR="0" wp14:anchorId="6335AEDC" wp14:editId="1D820D75">
                <wp:extent cx="986409" cy="570585"/>
                <wp:effectExtent l="0" t="0" r="444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1F467857" w14:textId="77777777" w:rsidR="001047C1" w:rsidRDefault="001047C1" w:rsidP="001047C1">
          <w:pPr>
            <w:pStyle w:val="Nagwek"/>
          </w:pPr>
          <w:r>
            <w:rPr>
              <w:noProof/>
            </w:rPr>
            <w:drawing>
              <wp:inline distT="0" distB="0" distL="0" distR="0" wp14:anchorId="214B0BAF" wp14:editId="570C0BAB">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7EBFB335" w14:textId="77777777" w:rsidR="009741A7" w:rsidRDefault="009741A7" w:rsidP="001047C1">
    <w:pPr>
      <w:pStyle w:val="Nagwek"/>
      <w:jc w:val="both"/>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B5E6339"/>
    <w:multiLevelType w:val="hybridMultilevel"/>
    <w:tmpl w:val="7E842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4"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F825F7"/>
    <w:multiLevelType w:val="hybridMultilevel"/>
    <w:tmpl w:val="41561022"/>
    <w:lvl w:ilvl="0" w:tplc="C706BB9A">
      <w:start w:val="6"/>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7"/>
  </w:num>
  <w:num w:numId="2" w16cid:durableId="1016267921">
    <w:abstractNumId w:val="29"/>
  </w:num>
  <w:num w:numId="3" w16cid:durableId="194582024">
    <w:abstractNumId w:val="10"/>
  </w:num>
  <w:num w:numId="4" w16cid:durableId="168839228">
    <w:abstractNumId w:val="37"/>
  </w:num>
  <w:num w:numId="5" w16cid:durableId="583422186">
    <w:abstractNumId w:val="30"/>
  </w:num>
  <w:num w:numId="6" w16cid:durableId="663320214">
    <w:abstractNumId w:val="8"/>
  </w:num>
  <w:num w:numId="7" w16cid:durableId="2070348000">
    <w:abstractNumId w:val="31"/>
  </w:num>
  <w:num w:numId="8" w16cid:durableId="1535995119">
    <w:abstractNumId w:val="24"/>
  </w:num>
  <w:num w:numId="9" w16cid:durableId="852375477">
    <w:abstractNumId w:val="46"/>
  </w:num>
  <w:num w:numId="10" w16cid:durableId="1922442582">
    <w:abstractNumId w:val="20"/>
  </w:num>
  <w:num w:numId="11" w16cid:durableId="1205169960">
    <w:abstractNumId w:val="25"/>
  </w:num>
  <w:num w:numId="12" w16cid:durableId="1744792199">
    <w:abstractNumId w:val="22"/>
  </w:num>
  <w:num w:numId="13" w16cid:durableId="765925289">
    <w:abstractNumId w:val="36"/>
  </w:num>
  <w:num w:numId="14" w16cid:durableId="1199008405">
    <w:abstractNumId w:val="21"/>
  </w:num>
  <w:num w:numId="15" w16cid:durableId="74713331">
    <w:abstractNumId w:val="45"/>
  </w:num>
  <w:num w:numId="16" w16cid:durableId="91824971">
    <w:abstractNumId w:val="43"/>
  </w:num>
  <w:num w:numId="17" w16cid:durableId="50471637">
    <w:abstractNumId w:val="26"/>
  </w:num>
  <w:num w:numId="18" w16cid:durableId="1827281561">
    <w:abstractNumId w:val="15"/>
  </w:num>
  <w:num w:numId="19" w16cid:durableId="711223701">
    <w:abstractNumId w:val="44"/>
  </w:num>
  <w:num w:numId="20" w16cid:durableId="320813241">
    <w:abstractNumId w:val="33"/>
  </w:num>
  <w:num w:numId="21" w16cid:durableId="1200823936">
    <w:abstractNumId w:val="27"/>
  </w:num>
  <w:num w:numId="22" w16cid:durableId="224726896">
    <w:abstractNumId w:val="7"/>
  </w:num>
  <w:num w:numId="23" w16cid:durableId="630406045">
    <w:abstractNumId w:val="32"/>
  </w:num>
  <w:num w:numId="24" w16cid:durableId="345716523">
    <w:abstractNumId w:val="19"/>
  </w:num>
  <w:num w:numId="25" w16cid:durableId="1738043631">
    <w:abstractNumId w:val="28"/>
  </w:num>
  <w:num w:numId="26" w16cid:durableId="669872211">
    <w:abstractNumId w:val="41"/>
  </w:num>
  <w:num w:numId="27" w16cid:durableId="935164671">
    <w:abstractNumId w:val="47"/>
  </w:num>
  <w:num w:numId="28" w16cid:durableId="1790389083">
    <w:abstractNumId w:val="39"/>
  </w:num>
  <w:num w:numId="29" w16cid:durableId="123625012">
    <w:abstractNumId w:val="3"/>
  </w:num>
  <w:num w:numId="30" w16cid:durableId="1964728203">
    <w:abstractNumId w:val="1"/>
  </w:num>
  <w:num w:numId="31" w16cid:durableId="249971187">
    <w:abstractNumId w:val="13"/>
  </w:num>
  <w:num w:numId="32" w16cid:durableId="1336572806">
    <w:abstractNumId w:val="40"/>
  </w:num>
  <w:num w:numId="33" w16cid:durableId="753354424">
    <w:abstractNumId w:val="18"/>
  </w:num>
  <w:num w:numId="34" w16cid:durableId="266889970">
    <w:abstractNumId w:val="5"/>
  </w:num>
  <w:num w:numId="35" w16cid:durableId="1905068426">
    <w:abstractNumId w:val="23"/>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8"/>
  </w:num>
  <w:num w:numId="41" w16cid:durableId="1341809940">
    <w:abstractNumId w:val="6"/>
  </w:num>
  <w:num w:numId="42" w16cid:durableId="1132475784">
    <w:abstractNumId w:val="42"/>
  </w:num>
  <w:num w:numId="43" w16cid:durableId="1079598530">
    <w:abstractNumId w:val="14"/>
  </w:num>
  <w:num w:numId="44" w16cid:durableId="152070667">
    <w:abstractNumId w:val="12"/>
  </w:num>
  <w:num w:numId="45" w16cid:durableId="26301576">
    <w:abstractNumId w:val="35"/>
  </w:num>
  <w:num w:numId="46" w16cid:durableId="1496338465">
    <w:abstractNumId w:val="34"/>
  </w:num>
  <w:num w:numId="47" w16cid:durableId="3384755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08CB"/>
    <w:rsid w:val="0005289D"/>
    <w:rsid w:val="00053D36"/>
    <w:rsid w:val="00061E20"/>
    <w:rsid w:val="00063DAA"/>
    <w:rsid w:val="00073245"/>
    <w:rsid w:val="000766F3"/>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47C1"/>
    <w:rsid w:val="001060C0"/>
    <w:rsid w:val="00107200"/>
    <w:rsid w:val="001102A9"/>
    <w:rsid w:val="00112D56"/>
    <w:rsid w:val="00115FD9"/>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5B45"/>
    <w:rsid w:val="00167825"/>
    <w:rsid w:val="001710DB"/>
    <w:rsid w:val="001713B9"/>
    <w:rsid w:val="0018273C"/>
    <w:rsid w:val="00184A67"/>
    <w:rsid w:val="00186222"/>
    <w:rsid w:val="00191E76"/>
    <w:rsid w:val="00196CB8"/>
    <w:rsid w:val="001970C1"/>
    <w:rsid w:val="00197F65"/>
    <w:rsid w:val="001A4006"/>
    <w:rsid w:val="001A493B"/>
    <w:rsid w:val="001B0077"/>
    <w:rsid w:val="001B0B8F"/>
    <w:rsid w:val="001B2D72"/>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57811"/>
    <w:rsid w:val="00261102"/>
    <w:rsid w:val="00261D6D"/>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67EE9"/>
    <w:rsid w:val="00370919"/>
    <w:rsid w:val="003777BD"/>
    <w:rsid w:val="00382BA4"/>
    <w:rsid w:val="00397CCF"/>
    <w:rsid w:val="003A1CAB"/>
    <w:rsid w:val="003A3038"/>
    <w:rsid w:val="003A34AF"/>
    <w:rsid w:val="003A3E0F"/>
    <w:rsid w:val="003A45F8"/>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1F55"/>
    <w:rsid w:val="0046406B"/>
    <w:rsid w:val="00465472"/>
    <w:rsid w:val="00465D96"/>
    <w:rsid w:val="00467B0A"/>
    <w:rsid w:val="00467F84"/>
    <w:rsid w:val="0047168B"/>
    <w:rsid w:val="00473019"/>
    <w:rsid w:val="00477507"/>
    <w:rsid w:val="0048215E"/>
    <w:rsid w:val="004839CF"/>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3C88"/>
    <w:rsid w:val="005C6030"/>
    <w:rsid w:val="005C6353"/>
    <w:rsid w:val="005C6C55"/>
    <w:rsid w:val="005C7B71"/>
    <w:rsid w:val="005D1FE2"/>
    <w:rsid w:val="005D21DC"/>
    <w:rsid w:val="005D3F03"/>
    <w:rsid w:val="005D62EF"/>
    <w:rsid w:val="005D632A"/>
    <w:rsid w:val="005E1BDF"/>
    <w:rsid w:val="005E3245"/>
    <w:rsid w:val="005E6874"/>
    <w:rsid w:val="005F14E9"/>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088"/>
    <w:rsid w:val="006B7645"/>
    <w:rsid w:val="006C1036"/>
    <w:rsid w:val="006C37A9"/>
    <w:rsid w:val="006C3CF9"/>
    <w:rsid w:val="006C4CC2"/>
    <w:rsid w:val="006C6B1E"/>
    <w:rsid w:val="006C73AF"/>
    <w:rsid w:val="006D0FD2"/>
    <w:rsid w:val="006D2666"/>
    <w:rsid w:val="006D45AA"/>
    <w:rsid w:val="006E0066"/>
    <w:rsid w:val="006E4D35"/>
    <w:rsid w:val="006E6B23"/>
    <w:rsid w:val="006E6C55"/>
    <w:rsid w:val="006F51CD"/>
    <w:rsid w:val="006F5A90"/>
    <w:rsid w:val="006F6151"/>
    <w:rsid w:val="00700CB7"/>
    <w:rsid w:val="00703D8C"/>
    <w:rsid w:val="00706FD8"/>
    <w:rsid w:val="00707327"/>
    <w:rsid w:val="00713F90"/>
    <w:rsid w:val="00713FA6"/>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370E5"/>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7927"/>
    <w:rsid w:val="008C0F23"/>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2797"/>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97EA1"/>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2F52"/>
    <w:rsid w:val="00A84EB0"/>
    <w:rsid w:val="00A855E7"/>
    <w:rsid w:val="00A86226"/>
    <w:rsid w:val="00A87D8D"/>
    <w:rsid w:val="00A907F3"/>
    <w:rsid w:val="00A927AE"/>
    <w:rsid w:val="00A932DA"/>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D6E99"/>
    <w:rsid w:val="00BE5D93"/>
    <w:rsid w:val="00BF01AD"/>
    <w:rsid w:val="00BF11F6"/>
    <w:rsid w:val="00BF1849"/>
    <w:rsid w:val="00BF2B6D"/>
    <w:rsid w:val="00BF5551"/>
    <w:rsid w:val="00BF6244"/>
    <w:rsid w:val="00BF7B34"/>
    <w:rsid w:val="00C0256F"/>
    <w:rsid w:val="00C0419D"/>
    <w:rsid w:val="00C05D61"/>
    <w:rsid w:val="00C078C2"/>
    <w:rsid w:val="00C14D12"/>
    <w:rsid w:val="00C16DDD"/>
    <w:rsid w:val="00C23ED5"/>
    <w:rsid w:val="00C2545E"/>
    <w:rsid w:val="00C25780"/>
    <w:rsid w:val="00C30FDF"/>
    <w:rsid w:val="00C354F1"/>
    <w:rsid w:val="00C431BA"/>
    <w:rsid w:val="00C4373B"/>
    <w:rsid w:val="00C44F47"/>
    <w:rsid w:val="00C46204"/>
    <w:rsid w:val="00C52806"/>
    <w:rsid w:val="00C56558"/>
    <w:rsid w:val="00C574AB"/>
    <w:rsid w:val="00C574E5"/>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5D1E"/>
    <w:rsid w:val="00D87DDA"/>
    <w:rsid w:val="00D91164"/>
    <w:rsid w:val="00D95AAD"/>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56ED"/>
    <w:rsid w:val="00DD6969"/>
    <w:rsid w:val="00DF30FD"/>
    <w:rsid w:val="00DF360C"/>
    <w:rsid w:val="00DF7005"/>
    <w:rsid w:val="00E00493"/>
    <w:rsid w:val="00E0176A"/>
    <w:rsid w:val="00E01EA7"/>
    <w:rsid w:val="00E1251F"/>
    <w:rsid w:val="00E14DDC"/>
    <w:rsid w:val="00E161F4"/>
    <w:rsid w:val="00E16E22"/>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3CBC"/>
    <w:rsid w:val="00ED4B51"/>
    <w:rsid w:val="00ED54F0"/>
    <w:rsid w:val="00ED5CDC"/>
    <w:rsid w:val="00EE0133"/>
    <w:rsid w:val="00EE4A13"/>
    <w:rsid w:val="00EF1A8A"/>
    <w:rsid w:val="00F06E81"/>
    <w:rsid w:val="00F079C4"/>
    <w:rsid w:val="00F07E6D"/>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 w:type="table" w:styleId="Tabela-Siatka">
    <w:name w:val="Table Grid"/>
    <w:basedOn w:val="Standardowy"/>
    <w:uiPriority w:val="59"/>
    <w:rsid w:val="001047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6174</Words>
  <Characters>35192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3</cp:revision>
  <cp:lastPrinted>2022-07-21T09:15:00Z</cp:lastPrinted>
  <dcterms:created xsi:type="dcterms:W3CDTF">2024-03-06T13:19:00Z</dcterms:created>
  <dcterms:modified xsi:type="dcterms:W3CDTF">2024-03-07T08:50:00Z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