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C4" w:rsidRPr="007B33B6" w:rsidRDefault="00B07BC4" w:rsidP="00B07BC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d SWZ</w:t>
      </w:r>
    </w:p>
    <w:p w:rsidR="00B07BC4" w:rsidRPr="007B33B6" w:rsidRDefault="00B07BC4" w:rsidP="00B07BC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07BC4" w:rsidRPr="007B33B6" w:rsidRDefault="00B07BC4" w:rsidP="00B07BC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>.................................. dnia..................202</w:t>
      </w:r>
      <w:r w:rsidR="00CB3ABC">
        <w:rPr>
          <w:rFonts w:eastAsia="Times New Roman"/>
          <w:color w:val="000000" w:themeColor="text1"/>
          <w:szCs w:val="24"/>
        </w:rPr>
        <w:t>4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</w:p>
    <w:p w:rsidR="00B07BC4" w:rsidRPr="007B33B6" w:rsidRDefault="00B07BC4" w:rsidP="00B07BC4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B07BC4" w:rsidRPr="007B33B6" w:rsidRDefault="00B07BC4" w:rsidP="00B07BC4">
      <w:pPr>
        <w:keepNext/>
        <w:widowControl/>
        <w:overflowPunct w:val="0"/>
        <w:autoSpaceDE/>
        <w:autoSpaceDN/>
        <w:adjustRightInd/>
        <w:spacing w:line="240" w:lineRule="atLeast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B07BC4" w:rsidRPr="007B33B6" w:rsidRDefault="00B07BC4" w:rsidP="00B07BC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:rsidR="00B07BC4" w:rsidRPr="007B33B6" w:rsidRDefault="001B0A2B" w:rsidP="00B07BC4">
      <w:pPr>
        <w:widowControl/>
        <w:tabs>
          <w:tab w:val="left" w:pos="4608"/>
          <w:tab w:val="right" w:pos="9072"/>
        </w:tabs>
        <w:autoSpaceDE/>
        <w:autoSpaceDN/>
        <w:adjustRightInd/>
        <w:spacing w:line="360" w:lineRule="auto"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>
        <w:rPr>
          <w:rFonts w:eastAsia="Times New Roman"/>
          <w:b/>
          <w:bCs/>
          <w:color w:val="000000" w:themeColor="text1"/>
          <w:szCs w:val="24"/>
        </w:rPr>
        <w:t>w sezonie  2024/2025</w:t>
      </w:r>
      <w:r w:rsidR="00B07BC4" w:rsidRPr="007B33B6">
        <w:rPr>
          <w:rFonts w:eastAsia="Times New Roman"/>
          <w:b/>
          <w:bCs/>
          <w:color w:val="000000" w:themeColor="text1"/>
          <w:szCs w:val="24"/>
        </w:rPr>
        <w:t xml:space="preserve"> -  część 4</w:t>
      </w:r>
    </w:p>
    <w:tbl>
      <w:tblPr>
        <w:tblW w:w="13518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5"/>
        <w:gridCol w:w="3192"/>
        <w:gridCol w:w="1311"/>
        <w:gridCol w:w="798"/>
        <w:gridCol w:w="1026"/>
        <w:gridCol w:w="912"/>
        <w:gridCol w:w="1436"/>
        <w:gridCol w:w="1436"/>
        <w:gridCol w:w="1436"/>
        <w:gridCol w:w="1436"/>
      </w:tblGrid>
      <w:tr w:rsidR="00551316" w:rsidRPr="007B33B6" w:rsidTr="00551316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Wyszczególnieni</w:t>
            </w:r>
            <w:r w:rsidR="00A72FF9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</w:t>
            </w: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Tryb 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J. m.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Cena jedn. 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netto 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Podatek VAT 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(%)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Cena jedn.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 xml:space="preserve"> brutto 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(zł)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316" w:rsidRPr="001D1101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Planowana ilość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316" w:rsidRPr="001D1101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netto oferty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(5x8)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316" w:rsidRPr="001D1101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brutto oferty</w:t>
            </w: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(7x8)</w:t>
            </w:r>
          </w:p>
        </w:tc>
      </w:tr>
      <w:tr w:rsidR="00551316" w:rsidRPr="007B33B6" w:rsidTr="00551316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6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7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551316" w:rsidRPr="00EE466C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8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551316" w:rsidRPr="007B33B6" w:rsidTr="00DD06F4">
        <w:trPr>
          <w:cantSplit/>
          <w:trHeight w:val="420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 – 1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51316" w:rsidRPr="00EE466C" w:rsidRDefault="005A22B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70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:rsidTr="00DD06F4">
        <w:trPr>
          <w:cantSplit/>
          <w:trHeight w:val="103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24"/>
                <w:szCs w:val="24"/>
              </w:rPr>
              <w:t>s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szCs w:val="24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5A22B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50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:rsidTr="00DD06F4">
        <w:trPr>
          <w:cantSplit/>
          <w:trHeight w:val="5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5A22B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:rsidTr="00DD06F4">
        <w:trPr>
          <w:cantSplit/>
          <w:trHeight w:val="3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5A22B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:rsidTr="00DD06F4">
        <w:trPr>
          <w:cantSplit/>
          <w:trHeight w:val="343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:rsidTr="00DD06F4">
        <w:trPr>
          <w:cantSplit/>
          <w:trHeight w:val="227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</w:p>
        </w:tc>
        <w:tc>
          <w:tcPr>
            <w:tcW w:w="1311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:rsidTr="00DD06F4">
        <w:trPr>
          <w:cantSplit/>
          <w:trHeight w:val="478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EE466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:rsidTr="00DD06F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5A22B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170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551316" w:rsidRPr="007B33B6" w:rsidTr="00DD06F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5A22B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10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551316" w:rsidRPr="007B33B6" w:rsidTr="00DD06F4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 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EE466C" w:rsidRDefault="005A22BC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 w:rsidRPr="00EE466C">
              <w:rPr>
                <w:rFonts w:eastAsia="Times New Roman"/>
                <w:szCs w:val="24"/>
              </w:rPr>
              <w:t>1</w:t>
            </w:r>
            <w:bookmarkStart w:id="0" w:name="_GoBack"/>
            <w:bookmarkEnd w:id="0"/>
            <w:r w:rsidR="000F708E">
              <w:rPr>
                <w:rFonts w:eastAsia="Times New Roman"/>
                <w:szCs w:val="24"/>
              </w:rPr>
              <w:t>80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551316" w:rsidRPr="007B33B6" w:rsidTr="008C1230">
        <w:trPr>
          <w:trHeight w:val="660"/>
        </w:trPr>
        <w:tc>
          <w:tcPr>
            <w:tcW w:w="10646" w:type="dxa"/>
            <w:gridSpan w:val="8"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551316" w:rsidRPr="007B33B6" w:rsidRDefault="00551316" w:rsidP="00551316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 xml:space="preserve">Razem </w:t>
            </w:r>
          </w:p>
        </w:tc>
        <w:tc>
          <w:tcPr>
            <w:tcW w:w="1436" w:type="dxa"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551316" w:rsidRPr="007B33B6" w:rsidRDefault="00551316" w:rsidP="00551316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07BC4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551316" w:rsidRDefault="00551316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551316" w:rsidRPr="007B33B6" w:rsidRDefault="00551316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</w:t>
      </w:r>
    </w:p>
    <w:p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 </w:t>
      </w:r>
    </w:p>
    <w:p w:rsidR="00B07BC4" w:rsidRPr="007B33B6" w:rsidRDefault="00B07BC4" w:rsidP="00B07BC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</w:t>
      </w: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:rsidR="00B07BC4" w:rsidRPr="007B33B6" w:rsidRDefault="00B07BC4" w:rsidP="007B0459">
      <w:pPr>
        <w:widowControl/>
        <w:autoSpaceDE/>
        <w:autoSpaceDN/>
        <w:adjustRightInd/>
        <w:ind w:left="945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                      </w:t>
      </w:r>
      <w:r w:rsidRPr="007B33B6">
        <w:rPr>
          <w:rFonts w:eastAsia="Times New Roman"/>
          <w:color w:val="000000" w:themeColor="text1"/>
          <w:sz w:val="24"/>
          <w:szCs w:val="16"/>
        </w:rPr>
        <w:t xml:space="preserve"> </w:t>
      </w:r>
      <w:r w:rsidRPr="007B33B6">
        <w:rPr>
          <w:rFonts w:eastAsia="Times New Roman"/>
          <w:color w:val="000000" w:themeColor="text1"/>
          <w:sz w:val="16"/>
          <w:szCs w:val="16"/>
        </w:rPr>
        <w:t>(</w:t>
      </w:r>
      <w:r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B07BC4" w:rsidRPr="007B33B6" w:rsidRDefault="00B07BC4" w:rsidP="007B0459">
      <w:pPr>
        <w:widowControl/>
        <w:autoSpaceDE/>
        <w:autoSpaceDN/>
        <w:adjustRightInd/>
        <w:ind w:left="945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:rsidR="00B07BC4" w:rsidRPr="00F34D84" w:rsidRDefault="00B07BC4" w:rsidP="007B0459">
      <w:pPr>
        <w:widowControl/>
        <w:autoSpaceDE/>
        <w:autoSpaceDN/>
        <w:adjustRightInd/>
        <w:ind w:left="9450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p w:rsidR="00201DB1" w:rsidRDefault="00201DB1" w:rsidP="00B07BC4"/>
    <w:p w:rsidR="00551316" w:rsidRPr="00551316" w:rsidRDefault="00551316" w:rsidP="00551316"/>
    <w:p w:rsidR="00551316" w:rsidRPr="00551316" w:rsidRDefault="00551316" w:rsidP="00551316"/>
    <w:p w:rsidR="00551316" w:rsidRPr="00551316" w:rsidRDefault="00551316" w:rsidP="00551316"/>
    <w:p w:rsidR="00551316" w:rsidRPr="00551316" w:rsidRDefault="00551316" w:rsidP="00551316"/>
    <w:p w:rsidR="00551316" w:rsidRPr="00551316" w:rsidRDefault="00551316" w:rsidP="00551316"/>
    <w:p w:rsidR="00551316" w:rsidRPr="00551316" w:rsidRDefault="00551316" w:rsidP="00551316"/>
    <w:p w:rsidR="00551316" w:rsidRDefault="00551316" w:rsidP="00551316"/>
    <w:p w:rsidR="00551316" w:rsidRDefault="00551316" w:rsidP="00551316"/>
    <w:p w:rsidR="00551316" w:rsidRPr="00551316" w:rsidRDefault="00551316" w:rsidP="00551316">
      <w:pPr>
        <w:tabs>
          <w:tab w:val="left" w:pos="5700"/>
        </w:tabs>
      </w:pPr>
      <w:r>
        <w:tab/>
      </w:r>
    </w:p>
    <w:sectPr w:rsidR="00551316" w:rsidRPr="00551316" w:rsidSect="00551316">
      <w:headerReference w:type="default" r:id="rId6"/>
      <w:footerReference w:type="default" r:id="rId7"/>
      <w:pgSz w:w="16838" w:h="11906" w:orient="landscape"/>
      <w:pgMar w:top="1417" w:right="100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464" w:rsidRDefault="00935464" w:rsidP="000159BF">
      <w:r>
        <w:separator/>
      </w:r>
    </w:p>
  </w:endnote>
  <w:endnote w:type="continuationSeparator" w:id="0">
    <w:p w:rsidR="00935464" w:rsidRDefault="00935464" w:rsidP="00015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9BF" w:rsidRPr="007B33B6" w:rsidRDefault="000159BF" w:rsidP="000159BF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:rsidR="000159BF" w:rsidRPr="007B33B6" w:rsidRDefault="000159BF" w:rsidP="000159BF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</w:t>
    </w:r>
    <w:r w:rsidR="00FD61A0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:rsidR="000159BF" w:rsidRPr="00F34D84" w:rsidRDefault="000159BF" w:rsidP="000159BF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  <w:p w:rsidR="000159BF" w:rsidRDefault="000159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464" w:rsidRDefault="00935464" w:rsidP="000159BF">
      <w:r>
        <w:separator/>
      </w:r>
    </w:p>
  </w:footnote>
  <w:footnote w:type="continuationSeparator" w:id="0">
    <w:p w:rsidR="00935464" w:rsidRDefault="00935464" w:rsidP="00015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316" w:rsidRPr="00EE466C" w:rsidRDefault="00551316" w:rsidP="00551316">
    <w:pPr>
      <w:pStyle w:val="Nagwek"/>
      <w:jc w:val="right"/>
    </w:pPr>
    <w:r w:rsidRPr="00EE466C">
      <w:t>ZDP.11.272.</w:t>
    </w:r>
    <w:r w:rsidR="00EE466C" w:rsidRPr="00EE466C">
      <w:t>8</w:t>
    </w:r>
    <w:r w:rsidRPr="00EE466C">
      <w:t>.202</w:t>
    </w:r>
    <w:r w:rsidR="00EE466C" w:rsidRPr="00EE466C">
      <w:t>4</w:t>
    </w:r>
  </w:p>
  <w:p w:rsidR="004E14D4" w:rsidRDefault="004E14D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8683F"/>
    <w:rsid w:val="000159BF"/>
    <w:rsid w:val="000C45DE"/>
    <w:rsid w:val="000D0386"/>
    <w:rsid w:val="000D6598"/>
    <w:rsid w:val="000F708E"/>
    <w:rsid w:val="001524D7"/>
    <w:rsid w:val="001B0A2B"/>
    <w:rsid w:val="00201DB1"/>
    <w:rsid w:val="002438CB"/>
    <w:rsid w:val="00254B2E"/>
    <w:rsid w:val="00340F04"/>
    <w:rsid w:val="003820E5"/>
    <w:rsid w:val="004A2566"/>
    <w:rsid w:val="004E14D4"/>
    <w:rsid w:val="00551316"/>
    <w:rsid w:val="00551C3D"/>
    <w:rsid w:val="005A22BC"/>
    <w:rsid w:val="00675DB0"/>
    <w:rsid w:val="007B0459"/>
    <w:rsid w:val="008602D4"/>
    <w:rsid w:val="009323DC"/>
    <w:rsid w:val="00935464"/>
    <w:rsid w:val="00936C09"/>
    <w:rsid w:val="00971208"/>
    <w:rsid w:val="00971894"/>
    <w:rsid w:val="0097252D"/>
    <w:rsid w:val="009920F6"/>
    <w:rsid w:val="00A72FF9"/>
    <w:rsid w:val="00B07BC4"/>
    <w:rsid w:val="00B111D6"/>
    <w:rsid w:val="00B4106A"/>
    <w:rsid w:val="00C67176"/>
    <w:rsid w:val="00CB3ABC"/>
    <w:rsid w:val="00D8683F"/>
    <w:rsid w:val="00DA607A"/>
    <w:rsid w:val="00DD06F4"/>
    <w:rsid w:val="00E40650"/>
    <w:rsid w:val="00E70868"/>
    <w:rsid w:val="00EE466C"/>
    <w:rsid w:val="00EE483C"/>
    <w:rsid w:val="00F56682"/>
    <w:rsid w:val="00F575CE"/>
    <w:rsid w:val="00FB0D26"/>
    <w:rsid w:val="00FD6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8</cp:revision>
  <dcterms:created xsi:type="dcterms:W3CDTF">2023-10-13T10:54:00Z</dcterms:created>
  <dcterms:modified xsi:type="dcterms:W3CDTF">2024-08-13T05:29:00Z</dcterms:modified>
</cp:coreProperties>
</file>